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FBA0D" w14:textId="77777777" w:rsidR="00BC313A" w:rsidRDefault="00B946D4" w:rsidP="00B365E3">
      <w:r>
        <w:rPr>
          <w:noProof/>
          <w:lang w:eastAsia="en-GB"/>
        </w:rPr>
        <w:drawing>
          <wp:anchor distT="0" distB="0" distL="114300" distR="114300" simplePos="0" relativeHeight="251657728" behindDoc="0" locked="0" layoutInCell="1" allowOverlap="1" wp14:anchorId="66E13EEC" wp14:editId="6A37C4B0">
            <wp:simplePos x="0" y="0"/>
            <wp:positionH relativeFrom="column">
              <wp:posOffset>5200650</wp:posOffset>
            </wp:positionH>
            <wp:positionV relativeFrom="paragraph">
              <wp:posOffset>0</wp:posOffset>
            </wp:positionV>
            <wp:extent cx="942975" cy="1257300"/>
            <wp:effectExtent l="0" t="0" r="9525" b="0"/>
            <wp:wrapSquare wrapText="left"/>
            <wp:docPr id="1" name="Picture 1" descr="Oxford City Council Logo" title="Oxford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sideocc/styleguide/logos/occ_blk.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942975" cy="12573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Ind w:w="108" w:type="dxa"/>
        <w:tblLayout w:type="fixed"/>
        <w:tblLook w:val="04A0" w:firstRow="1" w:lastRow="0" w:firstColumn="1" w:lastColumn="0" w:noHBand="0" w:noVBand="1"/>
      </w:tblPr>
      <w:tblGrid>
        <w:gridCol w:w="426"/>
        <w:gridCol w:w="2012"/>
        <w:gridCol w:w="6407"/>
      </w:tblGrid>
      <w:tr w:rsidR="00BB4116" w14:paraId="3C4E6568" w14:textId="77777777" w:rsidTr="00BB4116">
        <w:tc>
          <w:tcPr>
            <w:tcW w:w="2438" w:type="dxa"/>
            <w:gridSpan w:val="2"/>
            <w:hideMark/>
          </w:tcPr>
          <w:p w14:paraId="65018AD8" w14:textId="77777777" w:rsidR="00B12E70" w:rsidRDefault="00B12E70" w:rsidP="00B365E3">
            <w:pPr>
              <w:rPr>
                <w:rStyle w:val="Firstpagetablebold"/>
              </w:rPr>
            </w:pPr>
          </w:p>
          <w:p w14:paraId="07385FB5" w14:textId="77777777" w:rsidR="00BB4116" w:rsidRDefault="00BB4116" w:rsidP="00B365E3">
            <w:pPr>
              <w:rPr>
                <w:rStyle w:val="Firstpagetablebold"/>
              </w:rPr>
            </w:pPr>
            <w:r>
              <w:rPr>
                <w:rStyle w:val="Firstpagetablebold"/>
              </w:rPr>
              <w:t>To:</w:t>
            </w:r>
          </w:p>
          <w:p w14:paraId="18BC5110" w14:textId="77777777" w:rsidR="003C531A" w:rsidRDefault="003C531A" w:rsidP="00B365E3">
            <w:pPr>
              <w:rPr>
                <w:rStyle w:val="Firstpagetablebold"/>
                <w:rFonts w:cs="Times New Roman"/>
              </w:rPr>
            </w:pPr>
            <w:r>
              <w:rPr>
                <w:rStyle w:val="Firstpagetablebold"/>
              </w:rPr>
              <w:t>Date:</w:t>
            </w:r>
          </w:p>
        </w:tc>
        <w:tc>
          <w:tcPr>
            <w:tcW w:w="6407" w:type="dxa"/>
            <w:hideMark/>
          </w:tcPr>
          <w:p w14:paraId="0B7E9008" w14:textId="77777777" w:rsidR="00B12E70" w:rsidRDefault="00B12E70" w:rsidP="00B365E3">
            <w:pPr>
              <w:rPr>
                <w:rStyle w:val="Firstpagetablebold"/>
              </w:rPr>
            </w:pPr>
          </w:p>
          <w:p w14:paraId="116845BF" w14:textId="77777777" w:rsidR="003C531A" w:rsidRDefault="00DC3B68" w:rsidP="003C531A">
            <w:pPr>
              <w:rPr>
                <w:rStyle w:val="Firstpagetablebold"/>
              </w:rPr>
            </w:pPr>
            <w:r>
              <w:rPr>
                <w:rStyle w:val="Firstpagetablebold"/>
              </w:rPr>
              <w:t>C</w:t>
            </w:r>
            <w:r w:rsidR="004E16D1">
              <w:rPr>
                <w:rStyle w:val="Firstpagetablebold"/>
              </w:rPr>
              <w:t>ouncil</w:t>
            </w:r>
          </w:p>
          <w:p w14:paraId="684864C2" w14:textId="256CAB84" w:rsidR="003C531A" w:rsidRDefault="00013E4A" w:rsidP="00504DB3">
            <w:pPr>
              <w:rPr>
                <w:rStyle w:val="Firstpagetablebold"/>
              </w:rPr>
            </w:pPr>
            <w:r>
              <w:rPr>
                <w:rStyle w:val="Firstpagetablebold"/>
              </w:rPr>
              <w:t>27 January 2025</w:t>
            </w:r>
          </w:p>
        </w:tc>
      </w:tr>
      <w:tr w:rsidR="00BB4116" w14:paraId="5545D98D" w14:textId="77777777" w:rsidTr="00BB4116">
        <w:tc>
          <w:tcPr>
            <w:tcW w:w="2438" w:type="dxa"/>
            <w:gridSpan w:val="2"/>
            <w:hideMark/>
          </w:tcPr>
          <w:p w14:paraId="26951515" w14:textId="77777777" w:rsidR="00BB4116" w:rsidRDefault="00BB4116" w:rsidP="00B365E3">
            <w:pPr>
              <w:rPr>
                <w:rStyle w:val="Firstpagetablebold"/>
                <w:rFonts w:cs="Times New Roman"/>
              </w:rPr>
            </w:pPr>
            <w:r>
              <w:rPr>
                <w:rStyle w:val="Firstpagetablebold"/>
              </w:rPr>
              <w:t>Report of:</w:t>
            </w:r>
          </w:p>
        </w:tc>
        <w:tc>
          <w:tcPr>
            <w:tcW w:w="6407" w:type="dxa"/>
            <w:hideMark/>
          </w:tcPr>
          <w:p w14:paraId="4056995A" w14:textId="77777777" w:rsidR="00BB4116" w:rsidRDefault="005B7587" w:rsidP="00B365E3">
            <w:pPr>
              <w:rPr>
                <w:rStyle w:val="Firstpagetablebold"/>
              </w:rPr>
            </w:pPr>
            <w:r>
              <w:rPr>
                <w:rStyle w:val="Firstpagetablebold"/>
              </w:rPr>
              <w:t>Head of Law and Governance</w:t>
            </w:r>
          </w:p>
        </w:tc>
      </w:tr>
      <w:tr w:rsidR="00BB4116" w14:paraId="16EDACB1" w14:textId="77777777" w:rsidTr="00BB4116">
        <w:tc>
          <w:tcPr>
            <w:tcW w:w="2438" w:type="dxa"/>
            <w:gridSpan w:val="2"/>
            <w:hideMark/>
          </w:tcPr>
          <w:p w14:paraId="73B7D77A" w14:textId="77777777" w:rsidR="00BB4116" w:rsidRDefault="00BB4116" w:rsidP="00B365E3">
            <w:pPr>
              <w:rPr>
                <w:rStyle w:val="Firstpagetablebold"/>
              </w:rPr>
            </w:pPr>
            <w:r>
              <w:rPr>
                <w:rStyle w:val="Firstpagetablebold"/>
              </w:rPr>
              <w:t xml:space="preserve">Title of Report: </w:t>
            </w:r>
          </w:p>
        </w:tc>
        <w:tc>
          <w:tcPr>
            <w:tcW w:w="6407" w:type="dxa"/>
          </w:tcPr>
          <w:p w14:paraId="6ED25AAE" w14:textId="77777777" w:rsidR="00BB4116" w:rsidRDefault="004E16D1" w:rsidP="005B7587">
            <w:pPr>
              <w:rPr>
                <w:rStyle w:val="Firstpagetablebold"/>
                <w:sz w:val="8"/>
              </w:rPr>
            </w:pPr>
            <w:r>
              <w:rPr>
                <w:rStyle w:val="Firstpagetablebold"/>
              </w:rPr>
              <w:t>Urgent Key Decisions</w:t>
            </w:r>
          </w:p>
        </w:tc>
      </w:tr>
      <w:tr w:rsidR="00B12E70" w14:paraId="6751EDA5" w14:textId="77777777" w:rsidTr="00BB4116">
        <w:tc>
          <w:tcPr>
            <w:tcW w:w="2438" w:type="dxa"/>
            <w:gridSpan w:val="2"/>
          </w:tcPr>
          <w:p w14:paraId="3706AFEF" w14:textId="77777777" w:rsidR="00B12E70" w:rsidRDefault="00B12E70" w:rsidP="00B365E3">
            <w:pPr>
              <w:rPr>
                <w:rStyle w:val="Firstpagetablebold"/>
              </w:rPr>
            </w:pPr>
          </w:p>
        </w:tc>
        <w:tc>
          <w:tcPr>
            <w:tcW w:w="6407" w:type="dxa"/>
          </w:tcPr>
          <w:p w14:paraId="16982F0E" w14:textId="77777777" w:rsidR="00B12E70" w:rsidRDefault="00B12E70" w:rsidP="00D35A7A">
            <w:pPr>
              <w:rPr>
                <w:rStyle w:val="Firstpagetablebold"/>
              </w:rPr>
            </w:pPr>
          </w:p>
        </w:tc>
      </w:tr>
      <w:tr w:rsidR="00BB4116" w14:paraId="7F502861" w14:textId="77777777" w:rsidTr="005B7587">
        <w:tc>
          <w:tcPr>
            <w:tcW w:w="8845" w:type="dxa"/>
            <w:gridSpan w:val="3"/>
            <w:tcBorders>
              <w:top w:val="single" w:sz="8" w:space="0" w:color="000000"/>
              <w:left w:val="single" w:sz="8" w:space="0" w:color="000000"/>
              <w:bottom w:val="single" w:sz="4" w:space="0" w:color="auto"/>
              <w:right w:val="single" w:sz="8" w:space="0" w:color="000000"/>
            </w:tcBorders>
            <w:hideMark/>
          </w:tcPr>
          <w:p w14:paraId="4D16D0AC" w14:textId="77777777" w:rsidR="00BB4116" w:rsidRDefault="00BB4116" w:rsidP="00B365E3">
            <w:pPr>
              <w:rPr>
                <w:rStyle w:val="Firstpagetablebold"/>
              </w:rPr>
            </w:pPr>
            <w:r>
              <w:rPr>
                <w:rStyle w:val="Firstpagetablebold"/>
              </w:rPr>
              <w:t>Summary and recommendations</w:t>
            </w:r>
          </w:p>
        </w:tc>
      </w:tr>
      <w:tr w:rsidR="00BB4116" w14:paraId="534ECFBA" w14:textId="77777777" w:rsidTr="005B7587">
        <w:tc>
          <w:tcPr>
            <w:tcW w:w="2438" w:type="dxa"/>
            <w:gridSpan w:val="2"/>
            <w:tcBorders>
              <w:top w:val="single" w:sz="4" w:space="0" w:color="auto"/>
              <w:left w:val="single" w:sz="4" w:space="0" w:color="auto"/>
            </w:tcBorders>
            <w:hideMark/>
          </w:tcPr>
          <w:p w14:paraId="4129FF88" w14:textId="77777777" w:rsidR="00BB4116" w:rsidRPr="005B7587" w:rsidRDefault="00BB4116" w:rsidP="005B7587">
            <w:pPr>
              <w:rPr>
                <w:rStyle w:val="Firstpagetablebold"/>
                <w:b w:val="0"/>
              </w:rPr>
            </w:pPr>
            <w:r>
              <w:rPr>
                <w:rStyle w:val="Firstpagetablebold"/>
              </w:rPr>
              <w:t>Purpose of report:</w:t>
            </w:r>
            <w:r w:rsidR="005B7587">
              <w:rPr>
                <w:rStyle w:val="Firstpagetablebold"/>
              </w:rPr>
              <w:t xml:space="preserve"> </w:t>
            </w:r>
          </w:p>
        </w:tc>
        <w:tc>
          <w:tcPr>
            <w:tcW w:w="6407" w:type="dxa"/>
            <w:tcBorders>
              <w:top w:val="single" w:sz="4" w:space="0" w:color="auto"/>
              <w:right w:val="single" w:sz="4" w:space="0" w:color="auto"/>
            </w:tcBorders>
            <w:hideMark/>
          </w:tcPr>
          <w:p w14:paraId="033CECA3" w14:textId="5E9D138B" w:rsidR="00BB4116" w:rsidRDefault="005B7587" w:rsidP="00504DB3">
            <w:r>
              <w:t xml:space="preserve">To update Council on key decisions taken in cases of special urgency </w:t>
            </w:r>
            <w:r w:rsidR="007149B6">
              <w:t xml:space="preserve">since </w:t>
            </w:r>
            <w:r w:rsidR="00A310CC">
              <w:t>25 November</w:t>
            </w:r>
            <w:r w:rsidR="007149B6">
              <w:t xml:space="preserve"> 202</w:t>
            </w:r>
            <w:r w:rsidR="00A310CC">
              <w:t>4</w:t>
            </w:r>
            <w:r>
              <w:t>.</w:t>
            </w:r>
          </w:p>
        </w:tc>
      </w:tr>
      <w:tr w:rsidR="005B7587" w14:paraId="0DE51847" w14:textId="77777777" w:rsidTr="005B7587">
        <w:tc>
          <w:tcPr>
            <w:tcW w:w="2438" w:type="dxa"/>
            <w:gridSpan w:val="2"/>
            <w:tcBorders>
              <w:left w:val="single" w:sz="4" w:space="0" w:color="auto"/>
              <w:bottom w:val="single" w:sz="4" w:space="0" w:color="auto"/>
            </w:tcBorders>
          </w:tcPr>
          <w:p w14:paraId="1183FA5A" w14:textId="77777777" w:rsidR="005B7587" w:rsidRDefault="005B7587" w:rsidP="005B7587">
            <w:pPr>
              <w:rPr>
                <w:rStyle w:val="Firstpagetablebold"/>
              </w:rPr>
            </w:pPr>
            <w:r>
              <w:rPr>
                <w:rStyle w:val="Firstpagetablebold"/>
              </w:rPr>
              <w:t>Lead Member:</w:t>
            </w:r>
          </w:p>
        </w:tc>
        <w:tc>
          <w:tcPr>
            <w:tcW w:w="6407" w:type="dxa"/>
            <w:tcBorders>
              <w:bottom w:val="single" w:sz="4" w:space="0" w:color="auto"/>
              <w:right w:val="single" w:sz="4" w:space="0" w:color="auto"/>
            </w:tcBorders>
          </w:tcPr>
          <w:p w14:paraId="0F2808C5" w14:textId="77777777" w:rsidR="005B7587" w:rsidRDefault="005B7587" w:rsidP="003C531A">
            <w:r>
              <w:t>Councillor Susan Brown, Leader of the Council</w:t>
            </w:r>
          </w:p>
        </w:tc>
      </w:tr>
      <w:tr w:rsidR="00BB4116" w14:paraId="6027384D" w14:textId="77777777" w:rsidTr="005B7587">
        <w:trPr>
          <w:trHeight w:val="413"/>
        </w:trPr>
        <w:tc>
          <w:tcPr>
            <w:tcW w:w="8845" w:type="dxa"/>
            <w:gridSpan w:val="3"/>
            <w:tcBorders>
              <w:top w:val="single" w:sz="4" w:space="0" w:color="auto"/>
              <w:left w:val="single" w:sz="8" w:space="0" w:color="000000"/>
              <w:bottom w:val="single" w:sz="8" w:space="0" w:color="000000"/>
              <w:right w:val="single" w:sz="8" w:space="0" w:color="000000"/>
            </w:tcBorders>
            <w:hideMark/>
          </w:tcPr>
          <w:p w14:paraId="28E123CD" w14:textId="77777777" w:rsidR="00BB4116" w:rsidRDefault="00BB4116" w:rsidP="004E16D1">
            <w:r>
              <w:rPr>
                <w:rStyle w:val="Firstpagetablebold"/>
              </w:rPr>
              <w:t xml:space="preserve">Recommendation(s): </w:t>
            </w:r>
            <w:r w:rsidR="00DC3B68">
              <w:rPr>
                <w:rStyle w:val="Firstpagetablebold"/>
              </w:rPr>
              <w:t>C</w:t>
            </w:r>
            <w:r w:rsidR="004E16D1">
              <w:rPr>
                <w:rStyle w:val="Firstpagetablebold"/>
              </w:rPr>
              <w:t>ouncil</w:t>
            </w:r>
            <w:r w:rsidR="00DC3B68">
              <w:rPr>
                <w:rStyle w:val="Firstpagetablebold"/>
              </w:rPr>
              <w:t xml:space="preserve"> </w:t>
            </w:r>
            <w:r w:rsidR="003C531A">
              <w:rPr>
                <w:rStyle w:val="Firstpagetablebold"/>
              </w:rPr>
              <w:t>is</w:t>
            </w:r>
            <w:r>
              <w:rPr>
                <w:rStyle w:val="Firstpagetablebold"/>
              </w:rPr>
              <w:t xml:space="preserve"> recommended to:</w:t>
            </w:r>
          </w:p>
        </w:tc>
      </w:tr>
      <w:tr w:rsidR="00BB4116" w14:paraId="287D0C23" w14:textId="77777777" w:rsidTr="00BB4116">
        <w:trPr>
          <w:trHeight w:val="283"/>
        </w:trPr>
        <w:tc>
          <w:tcPr>
            <w:tcW w:w="426" w:type="dxa"/>
            <w:tcBorders>
              <w:top w:val="nil"/>
              <w:left w:val="single" w:sz="8" w:space="0" w:color="000000"/>
              <w:bottom w:val="single" w:sz="8" w:space="0" w:color="000000"/>
              <w:right w:val="nil"/>
            </w:tcBorders>
            <w:hideMark/>
          </w:tcPr>
          <w:p w14:paraId="5BA7D117" w14:textId="77777777" w:rsidR="00BB4116" w:rsidRDefault="00BB4116" w:rsidP="00B365E3">
            <w:pPr>
              <w:rPr>
                <w:color w:val="000000"/>
              </w:rPr>
            </w:pPr>
            <w:r>
              <w:t>1.</w:t>
            </w:r>
          </w:p>
        </w:tc>
        <w:tc>
          <w:tcPr>
            <w:tcW w:w="8419" w:type="dxa"/>
            <w:gridSpan w:val="2"/>
            <w:tcBorders>
              <w:top w:val="nil"/>
              <w:left w:val="nil"/>
              <w:bottom w:val="single" w:sz="8" w:space="0" w:color="000000"/>
              <w:right w:val="single" w:sz="8" w:space="0" w:color="000000"/>
            </w:tcBorders>
            <w:hideMark/>
          </w:tcPr>
          <w:p w14:paraId="500D4781" w14:textId="77777777" w:rsidR="00C268EB" w:rsidRPr="00C268EB" w:rsidRDefault="003C531A" w:rsidP="004E16D1">
            <w:pPr>
              <w:rPr>
                <w:rFonts w:cs="Arial"/>
                <w:b/>
              </w:rPr>
            </w:pPr>
            <w:r>
              <w:rPr>
                <w:rStyle w:val="Firstpagetablebold"/>
              </w:rPr>
              <w:t>Note the</w:t>
            </w:r>
            <w:r w:rsidR="004E16D1">
              <w:rPr>
                <w:rStyle w:val="Firstpagetablebold"/>
              </w:rPr>
              <w:t xml:space="preserve"> urgent key</w:t>
            </w:r>
            <w:r>
              <w:rPr>
                <w:rStyle w:val="Firstpagetablebold"/>
              </w:rPr>
              <w:t xml:space="preserve"> decision</w:t>
            </w:r>
            <w:r w:rsidR="004E16D1">
              <w:rPr>
                <w:rStyle w:val="Firstpagetablebold"/>
              </w:rPr>
              <w:t>s</w:t>
            </w:r>
            <w:r w:rsidR="00C268EB">
              <w:rPr>
                <w:rStyle w:val="Firstpagetablebold"/>
              </w:rPr>
              <w:t xml:space="preserve"> taken </w:t>
            </w:r>
            <w:r w:rsidR="005B7587">
              <w:rPr>
                <w:rStyle w:val="Firstpagetablebold"/>
              </w:rPr>
              <w:t xml:space="preserve">in cases of special urgency </w:t>
            </w:r>
            <w:r w:rsidR="00C268EB">
              <w:rPr>
                <w:rStyle w:val="Firstpagetablebold"/>
              </w:rPr>
              <w:t>as set out in the report.</w:t>
            </w:r>
          </w:p>
        </w:tc>
      </w:tr>
    </w:tbl>
    <w:p w14:paraId="6047603F" w14:textId="77777777" w:rsidR="00BC313A" w:rsidRDefault="00BC313A" w:rsidP="00B365E3">
      <w:pPr>
        <w:rPr>
          <w:rFonts w:eastAsia="Arial Unicode M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4"/>
      </w:tblGrid>
      <w:tr w:rsidR="00CC2D82" w:rsidRPr="00CC2D82" w14:paraId="2E63CDFF" w14:textId="77777777" w:rsidTr="00CC2D82">
        <w:tc>
          <w:tcPr>
            <w:tcW w:w="8844" w:type="dxa"/>
            <w:tcBorders>
              <w:top w:val="single" w:sz="8" w:space="0" w:color="000000"/>
              <w:left w:val="single" w:sz="8" w:space="0" w:color="000000"/>
              <w:bottom w:val="single" w:sz="8" w:space="0" w:color="000000"/>
              <w:right w:val="single" w:sz="8" w:space="0" w:color="000000"/>
            </w:tcBorders>
            <w:shd w:val="clear" w:color="auto" w:fill="auto"/>
          </w:tcPr>
          <w:p w14:paraId="2D44404E" w14:textId="77777777" w:rsidR="00CC2D82" w:rsidRPr="00CC2D82" w:rsidRDefault="00CC2D82" w:rsidP="00757939">
            <w:pPr>
              <w:jc w:val="center"/>
              <w:rPr>
                <w:rFonts w:eastAsia="Arial Unicode MS"/>
              </w:rPr>
            </w:pPr>
            <w:r w:rsidRPr="00CC2D82">
              <w:rPr>
                <w:rFonts w:eastAsia="Arial Unicode MS"/>
                <w:b/>
              </w:rPr>
              <w:t>Appendices</w:t>
            </w:r>
          </w:p>
        </w:tc>
      </w:tr>
      <w:tr w:rsidR="00757939" w:rsidRPr="00CC2D82" w14:paraId="1F0B9BA2" w14:textId="77777777" w:rsidTr="00D66AD7">
        <w:tc>
          <w:tcPr>
            <w:tcW w:w="8844" w:type="dxa"/>
            <w:tcBorders>
              <w:top w:val="single" w:sz="8" w:space="0" w:color="000000"/>
              <w:left w:val="single" w:sz="8" w:space="0" w:color="000000"/>
              <w:bottom w:val="single" w:sz="8" w:space="0" w:color="000000"/>
              <w:right w:val="single" w:sz="8" w:space="0" w:color="000000"/>
            </w:tcBorders>
            <w:shd w:val="clear" w:color="auto" w:fill="auto"/>
          </w:tcPr>
          <w:p w14:paraId="45E28B6D" w14:textId="77777777" w:rsidR="00757939" w:rsidRPr="00CC2D82" w:rsidRDefault="00757939" w:rsidP="00757939">
            <w:pPr>
              <w:jc w:val="center"/>
              <w:rPr>
                <w:rFonts w:eastAsia="Arial Unicode MS"/>
              </w:rPr>
            </w:pPr>
            <w:r>
              <w:rPr>
                <w:rFonts w:eastAsia="Arial Unicode MS"/>
              </w:rPr>
              <w:t>None</w:t>
            </w:r>
          </w:p>
        </w:tc>
      </w:tr>
    </w:tbl>
    <w:p w14:paraId="1B5E50D3" w14:textId="77777777" w:rsidR="00CC2D82" w:rsidRDefault="00CC2D82" w:rsidP="0034201F">
      <w:pPr>
        <w:spacing w:after="0"/>
        <w:rPr>
          <w:rFonts w:eastAsia="Arial Unicode MS"/>
        </w:rPr>
      </w:pPr>
    </w:p>
    <w:p w14:paraId="0C4F6042" w14:textId="77777777" w:rsidR="00BB4116" w:rsidRPr="00BB4116" w:rsidRDefault="00BB4116" w:rsidP="00B365E3">
      <w:pPr>
        <w:pStyle w:val="Heading1"/>
      </w:pPr>
      <w:r w:rsidRPr="00BB4116">
        <w:t>Introduction and background</w:t>
      </w:r>
    </w:p>
    <w:p w14:paraId="5C2C80E4" w14:textId="13B334A3" w:rsidR="004A454C" w:rsidRPr="004A454C" w:rsidRDefault="005C32A2" w:rsidP="00AA1770">
      <w:pPr>
        <w:pStyle w:val="ListParagraph"/>
        <w:jc w:val="both"/>
        <w:rPr>
          <w:rFonts w:cs="Arial"/>
          <w:b/>
          <w:i/>
        </w:rPr>
      </w:pPr>
      <w:r>
        <w:t>The Leader</w:t>
      </w:r>
      <w:r w:rsidR="005B7587">
        <w:t xml:space="preserve"> of the Council</w:t>
      </w:r>
      <w:r>
        <w:t xml:space="preserve"> is required by regulations </w:t>
      </w:r>
      <w:r w:rsidR="00954F81">
        <w:t xml:space="preserve">to report to Council at least annually on executive decisions taken under special urgency procedures. Special urgency rules apply to key decisions that have not been notified on the Forward Plan for at least 5 clear days. Such decisions can only be taken where the Chair of the Scrutiny Committee </w:t>
      </w:r>
      <w:r w:rsidR="002615B5">
        <w:t xml:space="preserve">(or if there is no chair the Lord Mayor) </w:t>
      </w:r>
      <w:r w:rsidR="00954F81">
        <w:t xml:space="preserve">agrees that the making of the decision is urgent and cannot reasonably be deferred. </w:t>
      </w:r>
      <w:r w:rsidRPr="005C32A2">
        <w:t xml:space="preserve">This report updates Council on executive decisions taken </w:t>
      </w:r>
      <w:r w:rsidR="00563313">
        <w:t xml:space="preserve">in cases of special urgency </w:t>
      </w:r>
      <w:r w:rsidRPr="005C32A2">
        <w:t xml:space="preserve">since </w:t>
      </w:r>
      <w:r w:rsidR="00A310CC">
        <w:t>25 November 2024</w:t>
      </w:r>
      <w:r w:rsidRPr="005C32A2">
        <w:t>.</w:t>
      </w:r>
      <w:r w:rsidR="004A454C">
        <w:t xml:space="preserve"> </w:t>
      </w:r>
    </w:p>
    <w:p w14:paraId="32599E85" w14:textId="77777777" w:rsidR="0034201F" w:rsidRDefault="0034201F" w:rsidP="0034201F">
      <w:pPr>
        <w:pStyle w:val="ListParagraph"/>
        <w:numPr>
          <w:ilvl w:val="0"/>
          <w:numId w:val="0"/>
        </w:numPr>
        <w:spacing w:after="0"/>
        <w:ind w:left="425"/>
        <w:rPr>
          <w:rStyle w:val="Firstpagetablebold"/>
          <w:b w:val="0"/>
          <w:i/>
        </w:rPr>
      </w:pPr>
    </w:p>
    <w:p w14:paraId="3323192D" w14:textId="77777777" w:rsidR="000C3011" w:rsidRPr="005C1B66" w:rsidRDefault="003C531A" w:rsidP="005C1B66">
      <w:pPr>
        <w:rPr>
          <w:b/>
        </w:rPr>
      </w:pPr>
      <w:r>
        <w:rPr>
          <w:b/>
        </w:rPr>
        <w:t>Decision</w:t>
      </w:r>
      <w:r w:rsidR="00180C5D">
        <w:rPr>
          <w:b/>
        </w:rPr>
        <w:t>s</w:t>
      </w:r>
      <w:r w:rsidR="005C1B66" w:rsidRPr="005C1B66">
        <w:rPr>
          <w:b/>
        </w:rPr>
        <w:t xml:space="preserve"> taken </w:t>
      </w:r>
      <w:r w:rsidR="0011519F">
        <w:rPr>
          <w:b/>
        </w:rPr>
        <w:t>in cases of special urgency</w:t>
      </w:r>
    </w:p>
    <w:p w14:paraId="6489AA6A" w14:textId="5AAD77B5" w:rsidR="00757939" w:rsidRDefault="00C47A65" w:rsidP="00A55383">
      <w:pPr>
        <w:pStyle w:val="ListParagraph"/>
        <w:jc w:val="both"/>
      </w:pPr>
      <w:r>
        <w:t>The following</w:t>
      </w:r>
      <w:r w:rsidR="00757939">
        <w:t xml:space="preserve"> executive decisions were taken in cases of special urgency during the period since the previous report to Council on </w:t>
      </w:r>
      <w:r w:rsidR="00A310CC">
        <w:t>25 November 2024</w:t>
      </w:r>
      <w:r>
        <w:t>.</w:t>
      </w:r>
    </w:p>
    <w:p w14:paraId="105B80E6" w14:textId="292EA8CA" w:rsidR="00612520" w:rsidRDefault="00612520">
      <w:pPr>
        <w:tabs>
          <w:tab w:val="clear" w:pos="426"/>
        </w:tabs>
        <w:spacing w:after="0"/>
      </w:pPr>
      <w:r>
        <w:br w:type="page"/>
      </w:r>
    </w:p>
    <w:p w14:paraId="7E0E0520" w14:textId="77777777" w:rsidR="000551DA" w:rsidRDefault="000551DA" w:rsidP="000551DA">
      <w:pPr>
        <w:jc w:val="both"/>
      </w:pPr>
    </w:p>
    <w:tbl>
      <w:tblPr>
        <w:tblW w:w="9051"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right w:w="115" w:type="dxa"/>
        </w:tblCellMar>
        <w:tblLook w:val="0000" w:firstRow="0" w:lastRow="0" w:firstColumn="0" w:lastColumn="0" w:noHBand="0" w:noVBand="0"/>
      </w:tblPr>
      <w:tblGrid>
        <w:gridCol w:w="1137"/>
        <w:gridCol w:w="1393"/>
        <w:gridCol w:w="6521"/>
      </w:tblGrid>
      <w:tr w:rsidR="00C47A65" w:rsidRPr="004B5FCB" w14:paraId="6229E23B" w14:textId="77777777" w:rsidTr="00891F1F">
        <w:tc>
          <w:tcPr>
            <w:tcW w:w="1137" w:type="dxa"/>
            <w:noWrap/>
          </w:tcPr>
          <w:p w14:paraId="216CA99C" w14:textId="1BC46C05" w:rsidR="00C47A65" w:rsidRPr="004B5FCB" w:rsidRDefault="00C47A65" w:rsidP="00891F1F">
            <w:pPr>
              <w:rPr>
                <w:b/>
              </w:rPr>
            </w:pPr>
            <w:r w:rsidRPr="004B5FCB">
              <w:rPr>
                <w:b/>
              </w:rPr>
              <w:t xml:space="preserve">ITEM </w:t>
            </w:r>
            <w:r w:rsidR="009F519F">
              <w:rPr>
                <w:b/>
              </w:rPr>
              <w:t>1</w:t>
            </w:r>
          </w:p>
        </w:tc>
        <w:tc>
          <w:tcPr>
            <w:tcW w:w="7914" w:type="dxa"/>
            <w:gridSpan w:val="2"/>
          </w:tcPr>
          <w:p w14:paraId="60B38609" w14:textId="7147D37F" w:rsidR="00C47A65" w:rsidRPr="004B5FCB" w:rsidRDefault="00802404" w:rsidP="00891F1F">
            <w:pPr>
              <w:rPr>
                <w:b/>
              </w:rPr>
            </w:pPr>
            <w:r w:rsidRPr="00802404">
              <w:rPr>
                <w:b/>
              </w:rPr>
              <w:t>To take a decision to acquire properties at Barton Park from OCH(I)L and the developer and hold with the Housing Revenue Account</w:t>
            </w:r>
          </w:p>
        </w:tc>
      </w:tr>
      <w:tr w:rsidR="00C47A65" w:rsidRPr="00310A58" w14:paraId="49EC2C38" w14:textId="77777777" w:rsidTr="00891F1F">
        <w:tblPrEx>
          <w:tblCellMar>
            <w:top w:w="0" w:type="dxa"/>
            <w:left w:w="108" w:type="dxa"/>
            <w:right w:w="108" w:type="dxa"/>
          </w:tblCellMar>
          <w:tblLook w:val="04A0" w:firstRow="1" w:lastRow="0" w:firstColumn="1" w:lastColumn="0" w:noHBand="0" w:noVBand="1"/>
        </w:tblPrEx>
        <w:tc>
          <w:tcPr>
            <w:tcW w:w="9051" w:type="dxa"/>
            <w:gridSpan w:val="3"/>
            <w:tcBorders>
              <w:top w:val="single" w:sz="4" w:space="0" w:color="auto"/>
              <w:left w:val="single" w:sz="4" w:space="0" w:color="auto"/>
              <w:bottom w:val="single" w:sz="4" w:space="0" w:color="auto"/>
              <w:right w:val="single" w:sz="4" w:space="0" w:color="auto"/>
            </w:tcBorders>
            <w:shd w:val="clear" w:color="auto" w:fill="auto"/>
          </w:tcPr>
          <w:p w14:paraId="438D29C2" w14:textId="77777777" w:rsidR="00C42CB0" w:rsidRPr="00C42CB0" w:rsidRDefault="00C42CB0" w:rsidP="00C42CB0">
            <w:pPr>
              <w:numPr>
                <w:ilvl w:val="0"/>
                <w:numId w:val="14"/>
              </w:numPr>
              <w:shd w:val="clear" w:color="auto" w:fill="FFFFFF"/>
              <w:tabs>
                <w:tab w:val="clear" w:pos="426"/>
              </w:tabs>
              <w:spacing w:after="0"/>
              <w:rPr>
                <w:rFonts w:cs="Arial"/>
                <w:bCs/>
                <w:szCs w:val="24"/>
                <w:lang w:eastAsia="en-GB"/>
              </w:rPr>
            </w:pPr>
            <w:r w:rsidRPr="00C42CB0">
              <w:rPr>
                <w:rFonts w:cs="Arial"/>
                <w:b/>
                <w:szCs w:val="24"/>
                <w:lang w:eastAsia="en-GB"/>
              </w:rPr>
              <w:t xml:space="preserve">Approve, as an urgent decision outside of the policy and budget framework, </w:t>
            </w:r>
            <w:r w:rsidRPr="00C42CB0">
              <w:rPr>
                <w:rFonts w:cs="Arial"/>
                <w:szCs w:val="24"/>
                <w:lang w:eastAsia="en-GB"/>
              </w:rPr>
              <w:t>that the Council:</w:t>
            </w:r>
            <w:r w:rsidRPr="00C42CB0">
              <w:rPr>
                <w:rFonts w:cs="Arial"/>
                <w:b/>
                <w:bCs/>
                <w:szCs w:val="24"/>
                <w:lang w:eastAsia="en-GB"/>
              </w:rPr>
              <w:t xml:space="preserve"> </w:t>
            </w:r>
          </w:p>
          <w:p w14:paraId="1987C122" w14:textId="77777777" w:rsidR="00C42CB0" w:rsidRPr="00C42CB0" w:rsidRDefault="00C42CB0" w:rsidP="00C42CB0">
            <w:pPr>
              <w:numPr>
                <w:ilvl w:val="1"/>
                <w:numId w:val="14"/>
              </w:numPr>
              <w:shd w:val="clear" w:color="auto" w:fill="FFFFFF"/>
              <w:tabs>
                <w:tab w:val="clear" w:pos="426"/>
              </w:tabs>
              <w:spacing w:after="0"/>
              <w:rPr>
                <w:rFonts w:cs="Arial"/>
                <w:szCs w:val="24"/>
                <w:lang w:eastAsia="en-GB"/>
              </w:rPr>
            </w:pPr>
            <w:r w:rsidRPr="00C42CB0">
              <w:rPr>
                <w:rFonts w:cs="Arial"/>
                <w:szCs w:val="24"/>
                <w:lang w:eastAsia="en-GB"/>
              </w:rPr>
              <w:t>takes a transfer of the 168 Barton Park residential units from Oxford City Housing (Investment) Limited (“OCH(I)L”);</w:t>
            </w:r>
          </w:p>
          <w:p w14:paraId="0808FE09" w14:textId="77777777" w:rsidR="00C42CB0" w:rsidRPr="00C42CB0" w:rsidRDefault="00C42CB0" w:rsidP="00C42CB0">
            <w:pPr>
              <w:numPr>
                <w:ilvl w:val="1"/>
                <w:numId w:val="14"/>
              </w:numPr>
              <w:shd w:val="clear" w:color="auto" w:fill="FFFFFF"/>
              <w:tabs>
                <w:tab w:val="clear" w:pos="426"/>
              </w:tabs>
              <w:spacing w:after="0"/>
              <w:rPr>
                <w:rFonts w:cs="Arial"/>
                <w:szCs w:val="24"/>
                <w:lang w:eastAsia="en-GB"/>
              </w:rPr>
            </w:pPr>
            <w:r w:rsidRPr="00C42CB0">
              <w:rPr>
                <w:rFonts w:cs="Arial"/>
                <w:szCs w:val="24"/>
                <w:lang w:eastAsia="en-GB"/>
              </w:rPr>
              <w:t>acquires the remaining 184 units at Barton Park directly from the relevant phase developers for Phases 2, 3 and Phase 4 (“the developer”) at Barton Park as required under the overarching development agreement with Barton (Oxford) LLP ;</w:t>
            </w:r>
          </w:p>
          <w:p w14:paraId="47D04A3D" w14:textId="77777777" w:rsidR="00926FFC" w:rsidRPr="00543E40" w:rsidRDefault="00C42CB0" w:rsidP="00C42CB0">
            <w:pPr>
              <w:numPr>
                <w:ilvl w:val="1"/>
                <w:numId w:val="14"/>
              </w:numPr>
              <w:shd w:val="clear" w:color="auto" w:fill="FFFFFF"/>
              <w:tabs>
                <w:tab w:val="clear" w:pos="426"/>
              </w:tabs>
              <w:spacing w:after="0"/>
              <w:rPr>
                <w:rFonts w:ascii="Helvetica" w:hAnsi="Helvetica"/>
                <w:color w:val="37474F"/>
                <w:sz w:val="20"/>
                <w:lang w:eastAsia="en-GB"/>
              </w:rPr>
            </w:pPr>
            <w:r w:rsidRPr="00C42CB0">
              <w:rPr>
                <w:rFonts w:cs="Arial"/>
                <w:szCs w:val="24"/>
                <w:lang w:eastAsia="en-GB"/>
              </w:rPr>
              <w:t>all properties to be purchased by the Housing Revenue Account (HRA) and from within the HRA capital budget.</w:t>
            </w:r>
          </w:p>
          <w:p w14:paraId="67C6819C" w14:textId="77777777" w:rsidR="00543E40" w:rsidRPr="00C41058" w:rsidRDefault="00543E40" w:rsidP="00543E40">
            <w:pPr>
              <w:numPr>
                <w:ilvl w:val="0"/>
                <w:numId w:val="14"/>
              </w:numPr>
              <w:shd w:val="clear" w:color="auto" w:fill="FFFFFF"/>
              <w:tabs>
                <w:tab w:val="clear" w:pos="426"/>
              </w:tabs>
              <w:spacing w:after="0"/>
              <w:rPr>
                <w:rFonts w:ascii="Helvetica" w:hAnsi="Helvetica"/>
                <w:color w:val="37474F"/>
                <w:sz w:val="20"/>
                <w:lang w:eastAsia="en-GB"/>
              </w:rPr>
            </w:pPr>
            <w:r w:rsidRPr="00543E40">
              <w:rPr>
                <w:rFonts w:cs="Arial"/>
                <w:b/>
                <w:szCs w:val="24"/>
                <w:lang w:eastAsia="en-GB"/>
              </w:rPr>
              <w:t xml:space="preserve">Agree </w:t>
            </w:r>
            <w:r w:rsidRPr="005D496A">
              <w:rPr>
                <w:rFonts w:cs="Arial"/>
                <w:bCs/>
                <w:szCs w:val="24"/>
                <w:lang w:eastAsia="en-GB"/>
              </w:rPr>
              <w:t>that charging of the purchases approved at recommendation 1 (at the value shown in Appendix 2) is to the allocated HRA Capital budget for ‘Purchases of Properties from OX Place’, until such time as full Council may allocate a special budget for the purpose of acquiring the Social Rent homes at Barton Park into the HRA.</w:t>
            </w:r>
          </w:p>
          <w:p w14:paraId="7DDD5818" w14:textId="77777777" w:rsidR="00C41058" w:rsidRPr="006C70BA" w:rsidRDefault="00C41058" w:rsidP="00543E40">
            <w:pPr>
              <w:numPr>
                <w:ilvl w:val="0"/>
                <w:numId w:val="14"/>
              </w:numPr>
              <w:shd w:val="clear" w:color="auto" w:fill="FFFFFF"/>
              <w:tabs>
                <w:tab w:val="clear" w:pos="426"/>
              </w:tabs>
              <w:spacing w:after="0"/>
              <w:rPr>
                <w:rStyle w:val="Firstpagetablebold"/>
                <w:rFonts w:ascii="Helvetica" w:hAnsi="Helvetica" w:cs="Times New Roman"/>
                <w:b w:val="0"/>
                <w:color w:val="37474F"/>
                <w:sz w:val="20"/>
                <w:lang w:eastAsia="en-GB"/>
              </w:rPr>
            </w:pPr>
            <w:r w:rsidRPr="00213F35">
              <w:rPr>
                <w:rStyle w:val="Firstpagetablebold"/>
              </w:rPr>
              <w:t xml:space="preserve">Approve and agree to </w:t>
            </w:r>
            <w:r w:rsidRPr="005D496A">
              <w:rPr>
                <w:rStyle w:val="Firstpagetablebold"/>
                <w:b w:val="0"/>
                <w:bCs/>
              </w:rPr>
              <w:t>the purchase of and authorise the entering of the relevant contract and transfer documentation, ancillary deeds of covenant and agreement for the acquisition of 5 new affordable homes at Barton Park (Phase 3) from the Developer directly into the Housing Revenue Account (HRA), as listed in Appendix 1</w:t>
            </w:r>
            <w:r w:rsidRPr="00213F35">
              <w:rPr>
                <w:rStyle w:val="Firstpagetablebold"/>
              </w:rPr>
              <w:t xml:space="preserve">. </w:t>
            </w:r>
          </w:p>
          <w:p w14:paraId="2A59B65A" w14:textId="0DA5B1FF" w:rsidR="006C70BA" w:rsidRPr="005D496A" w:rsidRDefault="006C70BA" w:rsidP="00543E40">
            <w:pPr>
              <w:numPr>
                <w:ilvl w:val="0"/>
                <w:numId w:val="14"/>
              </w:numPr>
              <w:shd w:val="clear" w:color="auto" w:fill="FFFFFF"/>
              <w:tabs>
                <w:tab w:val="clear" w:pos="426"/>
              </w:tabs>
              <w:spacing w:after="0"/>
              <w:rPr>
                <w:rStyle w:val="normaltextrun"/>
                <w:rFonts w:ascii="Helvetica" w:hAnsi="Helvetica"/>
                <w:color w:val="37474F"/>
                <w:sz w:val="20"/>
                <w:lang w:eastAsia="en-GB"/>
              </w:rPr>
            </w:pPr>
            <w:r w:rsidRPr="00213F35">
              <w:rPr>
                <w:rStyle w:val="Firstpagetablebold"/>
              </w:rPr>
              <w:t xml:space="preserve">Approve and agree to </w:t>
            </w:r>
            <w:r w:rsidRPr="005D496A">
              <w:rPr>
                <w:rStyle w:val="Firstpagetablebold"/>
                <w:b w:val="0"/>
                <w:bCs/>
              </w:rPr>
              <w:t>the purchase of and authorise the entering of the relevant contract and transfer documentation, ancillary deeds of covenant and agreement for the acquisition of the</w:t>
            </w:r>
            <w:r w:rsidRPr="00213F35">
              <w:rPr>
                <w:rStyle w:val="Firstpagetablebold"/>
              </w:rPr>
              <w:t xml:space="preserve"> </w:t>
            </w:r>
            <w:r w:rsidRPr="00213F35">
              <w:rPr>
                <w:rStyle w:val="normaltextrun"/>
                <w:rFonts w:cs="Arial"/>
                <w:shd w:val="clear" w:color="auto" w:fill="FFFFFF"/>
              </w:rPr>
              <w:t xml:space="preserve">168 residential </w:t>
            </w:r>
            <w:r w:rsidRPr="00213F35">
              <w:rPr>
                <w:rStyle w:val="normaltextrun"/>
                <w:rFonts w:cs="Arial"/>
              </w:rPr>
              <w:t xml:space="preserve">freehold and leasehold </w:t>
            </w:r>
            <w:r w:rsidRPr="00213F35">
              <w:rPr>
                <w:rStyle w:val="normaltextrun"/>
                <w:rFonts w:cs="Arial"/>
                <w:shd w:val="clear" w:color="auto" w:fill="FFFFFF"/>
              </w:rPr>
              <w:t>units held by OCH(I)L at Barton Park and any associated land at a total purchase price of</w:t>
            </w:r>
            <w:r w:rsidRPr="00213F35">
              <w:rPr>
                <w:rStyle w:val="normaltextrun"/>
                <w:rFonts w:cs="Arial"/>
              </w:rPr>
              <w:t xml:space="preserve"> up to</w:t>
            </w:r>
            <w:r w:rsidRPr="00213F35">
              <w:rPr>
                <w:rStyle w:val="normaltextrun"/>
                <w:rFonts w:cs="Arial"/>
                <w:shd w:val="clear" w:color="auto" w:fill="FFFFFF"/>
              </w:rPr>
              <w:t xml:space="preserve"> £33,</w:t>
            </w:r>
            <w:r w:rsidRPr="00213F35">
              <w:rPr>
                <w:rStyle w:val="normaltextrun"/>
                <w:rFonts w:cs="Arial"/>
              </w:rPr>
              <w:t>125,324 plus up to £250,000 of associated costs</w:t>
            </w:r>
            <w:r w:rsidRPr="00213F35">
              <w:rPr>
                <w:rStyle w:val="normaltextrun"/>
                <w:rFonts w:cs="Arial"/>
                <w:shd w:val="clear" w:color="auto" w:fill="FFFFFF"/>
              </w:rPr>
              <w:t xml:space="preserve">. </w:t>
            </w:r>
          </w:p>
          <w:p w14:paraId="7BD8DEE7" w14:textId="4EB56998" w:rsidR="005D496A" w:rsidRPr="007149B6" w:rsidRDefault="005D496A" w:rsidP="00543E40">
            <w:pPr>
              <w:numPr>
                <w:ilvl w:val="0"/>
                <w:numId w:val="14"/>
              </w:numPr>
              <w:shd w:val="clear" w:color="auto" w:fill="FFFFFF"/>
              <w:tabs>
                <w:tab w:val="clear" w:pos="426"/>
              </w:tabs>
              <w:spacing w:after="0"/>
              <w:rPr>
                <w:rFonts w:ascii="Helvetica" w:hAnsi="Helvetica"/>
                <w:color w:val="37474F"/>
                <w:sz w:val="20"/>
                <w:lang w:eastAsia="en-GB"/>
              </w:rPr>
            </w:pPr>
            <w:r w:rsidRPr="00213F35">
              <w:rPr>
                <w:rFonts w:cs="Arial"/>
                <w:b/>
                <w:bCs/>
                <w:shd w:val="clear" w:color="auto" w:fill="FFFFFF"/>
              </w:rPr>
              <w:t>Delegate authority </w:t>
            </w:r>
            <w:r w:rsidRPr="00213F35">
              <w:rPr>
                <w:rFonts w:cs="Arial"/>
                <w:shd w:val="clear" w:color="auto" w:fill="FFFFFF"/>
              </w:rPr>
              <w:t xml:space="preserve">to the Executive Director - Development, in consultation with the Cabinet Member for Housing and Communities; the Head of Financial Services/Section 151 Officer; and the Council’s Monitoring Officer, to </w:t>
            </w:r>
            <w:r w:rsidRPr="00213F35">
              <w:rPr>
                <w:rFonts w:cs="Arial"/>
              </w:rPr>
              <w:t>e</w:t>
            </w:r>
            <w:r w:rsidRPr="00213F35">
              <w:rPr>
                <w:rFonts w:cs="Arial"/>
                <w:shd w:val="clear" w:color="auto" w:fill="FFFFFF"/>
              </w:rPr>
              <w:t>nter into all agreements necessary, for which powers are not already delegated under the scheme of delegation, to facilitate the transfer of the properties at 1.2  above, to the extent that such authority has not already been delegated to officers within the Constitution.</w:t>
            </w:r>
          </w:p>
        </w:tc>
      </w:tr>
      <w:tr w:rsidR="00C47A65" w:rsidRPr="004B5FCB" w14:paraId="5A77D786" w14:textId="77777777" w:rsidTr="00891F1F">
        <w:tblPrEx>
          <w:tblCellMar>
            <w:top w:w="0" w:type="dxa"/>
            <w:left w:w="108" w:type="dxa"/>
            <w:right w:w="108" w:type="dxa"/>
          </w:tblCellMar>
          <w:tblLook w:val="04A0" w:firstRow="1" w:lastRow="0" w:firstColumn="1" w:lastColumn="0" w:noHBand="0" w:noVBand="1"/>
        </w:tblPrEx>
        <w:tc>
          <w:tcPr>
            <w:tcW w:w="2530" w:type="dxa"/>
            <w:gridSpan w:val="2"/>
            <w:tcBorders>
              <w:top w:val="single" w:sz="4" w:space="0" w:color="auto"/>
              <w:left w:val="single" w:sz="4" w:space="0" w:color="auto"/>
              <w:bottom w:val="single" w:sz="4" w:space="0" w:color="auto"/>
              <w:right w:val="single" w:sz="4" w:space="0" w:color="auto"/>
            </w:tcBorders>
            <w:shd w:val="clear" w:color="auto" w:fill="auto"/>
          </w:tcPr>
          <w:p w14:paraId="04693431" w14:textId="77777777" w:rsidR="00C47A65" w:rsidRPr="004B5FCB" w:rsidRDefault="00FB25C6" w:rsidP="00891F1F">
            <w:pPr>
              <w:rPr>
                <w:b/>
                <w:bCs/>
              </w:rPr>
            </w:pPr>
            <w:r>
              <w:rPr>
                <w:b/>
                <w:bCs/>
              </w:rPr>
              <w:t xml:space="preserve">Date of </w:t>
            </w:r>
            <w:r w:rsidR="00C47A65" w:rsidRPr="004B5FCB">
              <w:rPr>
                <w:b/>
                <w:bCs/>
              </w:rPr>
              <w:t>decision:</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5303F917" w14:textId="23203232" w:rsidR="00C47A65" w:rsidRPr="004B5FCB" w:rsidRDefault="00802404" w:rsidP="00C47A65">
            <w:r>
              <w:t>28 November</w:t>
            </w:r>
            <w:r w:rsidR="00510CC7">
              <w:t xml:space="preserve"> 2024</w:t>
            </w:r>
          </w:p>
        </w:tc>
      </w:tr>
      <w:tr w:rsidR="00C47A65" w:rsidRPr="004B5FCB" w14:paraId="147E6E01" w14:textId="77777777" w:rsidTr="00891F1F">
        <w:tblPrEx>
          <w:tblCellMar>
            <w:top w:w="0" w:type="dxa"/>
            <w:left w:w="108" w:type="dxa"/>
            <w:right w:w="108" w:type="dxa"/>
          </w:tblCellMar>
          <w:tblLook w:val="04A0" w:firstRow="1" w:lastRow="0" w:firstColumn="1" w:lastColumn="0" w:noHBand="0" w:noVBand="1"/>
        </w:tblPrEx>
        <w:tc>
          <w:tcPr>
            <w:tcW w:w="2530" w:type="dxa"/>
            <w:gridSpan w:val="2"/>
            <w:tcBorders>
              <w:top w:val="single" w:sz="4" w:space="0" w:color="auto"/>
              <w:left w:val="single" w:sz="4" w:space="0" w:color="auto"/>
              <w:bottom w:val="single" w:sz="4" w:space="0" w:color="auto"/>
              <w:right w:val="single" w:sz="4" w:space="0" w:color="auto"/>
            </w:tcBorders>
            <w:shd w:val="clear" w:color="auto" w:fill="auto"/>
          </w:tcPr>
          <w:p w14:paraId="4294064C" w14:textId="77777777" w:rsidR="00C47A65" w:rsidRPr="004B5FCB" w:rsidRDefault="00C47A65" w:rsidP="00891F1F">
            <w:pPr>
              <w:rPr>
                <w:b/>
                <w:bCs/>
              </w:rPr>
            </w:pPr>
            <w:r w:rsidRPr="004B5FCB">
              <w:rPr>
                <w:b/>
                <w:bCs/>
              </w:rPr>
              <w:t>Decision taker</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43C26A8D" w14:textId="053042CB" w:rsidR="00C47A65" w:rsidRPr="004B5FCB" w:rsidRDefault="00713694" w:rsidP="007C49FA">
            <w:r>
              <w:t>Councillor Susan Brown, Leader of the Council</w:t>
            </w:r>
          </w:p>
        </w:tc>
      </w:tr>
      <w:tr w:rsidR="00C47A65" w:rsidRPr="00310A58" w14:paraId="4B9F3428" w14:textId="77777777" w:rsidTr="00891F1F">
        <w:tblPrEx>
          <w:tblCellMar>
            <w:top w:w="0" w:type="dxa"/>
            <w:left w:w="108" w:type="dxa"/>
            <w:right w:w="108" w:type="dxa"/>
          </w:tblCellMar>
          <w:tblLook w:val="04A0" w:firstRow="1" w:lastRow="0" w:firstColumn="1" w:lastColumn="0" w:noHBand="0" w:noVBand="1"/>
        </w:tblPrEx>
        <w:tc>
          <w:tcPr>
            <w:tcW w:w="2530" w:type="dxa"/>
            <w:gridSpan w:val="2"/>
            <w:shd w:val="clear" w:color="auto" w:fill="auto"/>
          </w:tcPr>
          <w:p w14:paraId="514EDA7A" w14:textId="77777777" w:rsidR="00C47A65" w:rsidRPr="004B5FCB" w:rsidRDefault="00C47A65" w:rsidP="00891F1F">
            <w:r w:rsidRPr="004B5FCB">
              <w:rPr>
                <w:b/>
              </w:rPr>
              <w:t>Was the decision taken under emergency or urgency rules?</w:t>
            </w:r>
          </w:p>
        </w:tc>
        <w:tc>
          <w:tcPr>
            <w:tcW w:w="6521" w:type="dxa"/>
            <w:shd w:val="clear" w:color="auto" w:fill="auto"/>
          </w:tcPr>
          <w:p w14:paraId="3F3933F0" w14:textId="1B6D881B" w:rsidR="00EB00FB" w:rsidRPr="00946D9A" w:rsidRDefault="00495769" w:rsidP="00EB00FB">
            <w:pPr>
              <w:rPr>
                <w:i/>
                <w:iCs/>
              </w:rPr>
            </w:pPr>
            <w:r w:rsidRPr="00946D9A">
              <w:rPr>
                <w:i/>
                <w:iCs/>
              </w:rPr>
              <w:t xml:space="preserve">Constitution </w:t>
            </w:r>
            <w:r w:rsidR="00EB00FB" w:rsidRPr="00946D9A">
              <w:rPr>
                <w:i/>
                <w:iCs/>
              </w:rPr>
              <w:t xml:space="preserve">Part 4.6 </w:t>
            </w:r>
          </w:p>
          <w:p w14:paraId="26E1E967" w14:textId="2A75D526" w:rsidR="00A240B6" w:rsidRPr="00A240B6" w:rsidRDefault="00A240B6" w:rsidP="00A240B6">
            <w:pPr>
              <w:rPr>
                <w:i/>
                <w:iCs/>
              </w:rPr>
            </w:pPr>
            <w:r w:rsidRPr="00A240B6">
              <w:rPr>
                <w:i/>
                <w:iCs/>
              </w:rPr>
              <w:t>The Leader may delegate executive responsibilities to a single Cabinet Member</w:t>
            </w:r>
            <w:r w:rsidR="00107AA6" w:rsidRPr="00946D9A">
              <w:rPr>
                <w:i/>
                <w:iCs/>
              </w:rPr>
              <w:t xml:space="preserve"> </w:t>
            </w:r>
            <w:r w:rsidRPr="00A240B6">
              <w:rPr>
                <w:i/>
                <w:iCs/>
              </w:rPr>
              <w:t>with or without consultation with officers or other Cabinet Members.</w:t>
            </w:r>
          </w:p>
          <w:p w14:paraId="4C310753" w14:textId="721B5558" w:rsidR="00A240B6" w:rsidRPr="00A240B6" w:rsidRDefault="00A240B6" w:rsidP="00A240B6">
            <w:pPr>
              <w:rPr>
                <w:i/>
                <w:iCs/>
              </w:rPr>
            </w:pPr>
            <w:r w:rsidRPr="00A240B6">
              <w:rPr>
                <w:i/>
                <w:iCs/>
              </w:rPr>
              <w:t>Cabinet Members do not have to use the delegated powers: they can ask the</w:t>
            </w:r>
            <w:r w:rsidR="00107AA6" w:rsidRPr="00946D9A">
              <w:rPr>
                <w:i/>
                <w:iCs/>
              </w:rPr>
              <w:t xml:space="preserve"> </w:t>
            </w:r>
            <w:r w:rsidRPr="00A240B6">
              <w:rPr>
                <w:i/>
                <w:iCs/>
              </w:rPr>
              <w:t>Leader to decide. The delegation can also be withdrawn by the Leader.</w:t>
            </w:r>
          </w:p>
          <w:p w14:paraId="56F2579D" w14:textId="17C2553F" w:rsidR="00A240B6" w:rsidRPr="00A240B6" w:rsidRDefault="00A240B6" w:rsidP="00A240B6">
            <w:pPr>
              <w:rPr>
                <w:i/>
                <w:iCs/>
              </w:rPr>
            </w:pPr>
            <w:r w:rsidRPr="00A240B6">
              <w:rPr>
                <w:i/>
                <w:iCs/>
              </w:rPr>
              <w:lastRenderedPageBreak/>
              <w:t>Any decisions delegated to a single Cabinet Member shall only be taken having</w:t>
            </w:r>
            <w:r w:rsidR="00107AA6" w:rsidRPr="00946D9A">
              <w:rPr>
                <w:i/>
                <w:iCs/>
              </w:rPr>
              <w:t xml:space="preserve"> </w:t>
            </w:r>
            <w:r w:rsidRPr="00A240B6">
              <w:rPr>
                <w:i/>
                <w:iCs/>
              </w:rPr>
              <w:t>regard to a written report submitted to them by the relevant officer within the</w:t>
            </w:r>
            <w:r w:rsidR="00107AA6" w:rsidRPr="00946D9A">
              <w:rPr>
                <w:i/>
                <w:iCs/>
              </w:rPr>
              <w:t xml:space="preserve"> </w:t>
            </w:r>
            <w:r w:rsidRPr="00A240B6">
              <w:rPr>
                <w:i/>
                <w:iCs/>
              </w:rPr>
              <w:t>senior management structure including any advice from the Head of Financial</w:t>
            </w:r>
          </w:p>
          <w:p w14:paraId="7122EE7B" w14:textId="47ACD3A6" w:rsidR="00A240B6" w:rsidRPr="00946D9A" w:rsidRDefault="00A240B6" w:rsidP="00A240B6">
            <w:pPr>
              <w:rPr>
                <w:i/>
                <w:iCs/>
              </w:rPr>
            </w:pPr>
            <w:r w:rsidRPr="00946D9A">
              <w:rPr>
                <w:i/>
                <w:iCs/>
              </w:rPr>
              <w:t>Services and the Head of Law and Governance. The officer report will be published 5 clear working days before the decision is confirmed by the Cabinet Member.</w:t>
            </w:r>
          </w:p>
          <w:p w14:paraId="0C76EAF6" w14:textId="6B71C7D8" w:rsidR="00A240B6" w:rsidRPr="00946D9A" w:rsidRDefault="00A240B6" w:rsidP="00A240B6">
            <w:pPr>
              <w:rPr>
                <w:i/>
                <w:iCs/>
              </w:rPr>
            </w:pPr>
            <w:r w:rsidRPr="00946D9A">
              <w:rPr>
                <w:i/>
                <w:iCs/>
              </w:rPr>
              <w:t>If a Cabinet Member with delegated powers has a disclosable pecuniary interest in a matter for decision the Cabinet Member must declare the interest as required by the Members’ Code of Conduct and not exercise the delegated function. The delegated function will instead be exercised by the Leader or another Cabinet</w:t>
            </w:r>
            <w:r w:rsidR="00107AA6" w:rsidRPr="00946D9A">
              <w:rPr>
                <w:i/>
                <w:iCs/>
              </w:rPr>
              <w:t xml:space="preserve"> </w:t>
            </w:r>
            <w:r w:rsidRPr="00946D9A">
              <w:rPr>
                <w:i/>
                <w:iCs/>
              </w:rPr>
              <w:t>Member authorised by the Leader.</w:t>
            </w:r>
          </w:p>
          <w:p w14:paraId="04269DB1" w14:textId="7B42FE0F" w:rsidR="00A240B6" w:rsidRPr="00946D9A" w:rsidRDefault="00A240B6" w:rsidP="00A240B6">
            <w:pPr>
              <w:rPr>
                <w:i/>
                <w:iCs/>
              </w:rPr>
            </w:pPr>
            <w:r w:rsidRPr="00946D9A">
              <w:rPr>
                <w:i/>
                <w:iCs/>
              </w:rPr>
              <w:t>Key decision procedures and call in procedures will apply to any key decisions</w:t>
            </w:r>
            <w:r w:rsidR="00107AA6" w:rsidRPr="00946D9A">
              <w:rPr>
                <w:i/>
                <w:iCs/>
              </w:rPr>
              <w:t xml:space="preserve"> </w:t>
            </w:r>
            <w:r w:rsidRPr="00946D9A">
              <w:rPr>
                <w:i/>
                <w:iCs/>
              </w:rPr>
              <w:t>delegated to a single Cabinet Member.</w:t>
            </w:r>
          </w:p>
          <w:p w14:paraId="67F9C861" w14:textId="587F2ED0" w:rsidR="00A240B6" w:rsidRDefault="00A240B6" w:rsidP="00A240B6">
            <w:pPr>
              <w:rPr>
                <w:i/>
                <w:iCs/>
              </w:rPr>
            </w:pPr>
            <w:r w:rsidRPr="00946D9A">
              <w:rPr>
                <w:i/>
                <w:iCs/>
              </w:rPr>
              <w:t>Once a Cabinet Member has taken a delegated decision, the Council will produce</w:t>
            </w:r>
            <w:r w:rsidR="00107AA6" w:rsidRPr="00946D9A">
              <w:rPr>
                <w:i/>
                <w:iCs/>
              </w:rPr>
              <w:t xml:space="preserve"> </w:t>
            </w:r>
            <w:r w:rsidRPr="00946D9A">
              <w:rPr>
                <w:i/>
                <w:iCs/>
              </w:rPr>
              <w:t>a record of the decision.</w:t>
            </w:r>
          </w:p>
          <w:p w14:paraId="69AE392F" w14:textId="77777777" w:rsidR="00946D9A" w:rsidRPr="00946D9A" w:rsidRDefault="00946D9A" w:rsidP="00A240B6">
            <w:pPr>
              <w:rPr>
                <w:i/>
                <w:iCs/>
              </w:rPr>
            </w:pPr>
          </w:p>
          <w:p w14:paraId="141AD2A7" w14:textId="1460FDEA" w:rsidR="00EB00FB" w:rsidRPr="00946D9A" w:rsidRDefault="00495769" w:rsidP="00A240B6">
            <w:pPr>
              <w:rPr>
                <w:i/>
                <w:iCs/>
              </w:rPr>
            </w:pPr>
            <w:r w:rsidRPr="00946D9A">
              <w:rPr>
                <w:i/>
                <w:iCs/>
              </w:rPr>
              <w:t xml:space="preserve">Constitution </w:t>
            </w:r>
            <w:r w:rsidR="00EB00FB" w:rsidRPr="00946D9A">
              <w:rPr>
                <w:i/>
                <w:iCs/>
              </w:rPr>
              <w:t xml:space="preserve">Part 16.4: </w:t>
            </w:r>
          </w:p>
          <w:p w14:paraId="60097D1E" w14:textId="77777777" w:rsidR="00B44187" w:rsidRPr="00B44187" w:rsidRDefault="00B44187" w:rsidP="00B44187">
            <w:pPr>
              <w:rPr>
                <w:i/>
                <w:iCs/>
              </w:rPr>
            </w:pPr>
            <w:bookmarkStart w:id="0" w:name="_bookmark0"/>
            <w:bookmarkStart w:id="1" w:name="_bookmark1"/>
            <w:bookmarkEnd w:id="0"/>
            <w:bookmarkEnd w:id="1"/>
            <w:r w:rsidRPr="00B44187">
              <w:rPr>
                <w:i/>
                <w:iCs/>
              </w:rPr>
              <w:t>(a) The Cabinet or officers carrying out executive responsibilities can take a</w:t>
            </w:r>
          </w:p>
          <w:p w14:paraId="6711DD4F" w14:textId="77777777" w:rsidR="00B44187" w:rsidRPr="00B44187" w:rsidRDefault="00B44187" w:rsidP="00B44187">
            <w:pPr>
              <w:rPr>
                <w:i/>
                <w:iCs/>
              </w:rPr>
            </w:pPr>
            <w:r w:rsidRPr="00B44187">
              <w:rPr>
                <w:i/>
                <w:iCs/>
              </w:rPr>
              <w:t>decision that is outside the budget or policy framework if:</w:t>
            </w:r>
          </w:p>
          <w:p w14:paraId="336411BE" w14:textId="77777777" w:rsidR="00B44187" w:rsidRPr="00B44187" w:rsidRDefault="00B44187" w:rsidP="00B44187">
            <w:pPr>
              <w:numPr>
                <w:ilvl w:val="0"/>
                <w:numId w:val="18"/>
              </w:numPr>
              <w:rPr>
                <w:i/>
                <w:iCs/>
              </w:rPr>
            </w:pPr>
            <w:r w:rsidRPr="00B44187">
              <w:rPr>
                <w:i/>
                <w:iCs/>
              </w:rPr>
              <w:t>it is urgent</w:t>
            </w:r>
          </w:p>
          <w:p w14:paraId="21096B09" w14:textId="77777777" w:rsidR="00B44187" w:rsidRPr="00B44187" w:rsidRDefault="00B44187" w:rsidP="00B44187">
            <w:pPr>
              <w:numPr>
                <w:ilvl w:val="0"/>
                <w:numId w:val="18"/>
              </w:numPr>
              <w:rPr>
                <w:i/>
                <w:iCs/>
              </w:rPr>
            </w:pPr>
            <w:r w:rsidRPr="00B44187">
              <w:rPr>
                <w:i/>
                <w:iCs/>
              </w:rPr>
              <w:t>it is not practicable to arrange a Council meeting</w:t>
            </w:r>
          </w:p>
          <w:p w14:paraId="015BF6EA" w14:textId="77777777" w:rsidR="00B44187" w:rsidRPr="00B44187" w:rsidRDefault="00B44187" w:rsidP="00B44187">
            <w:pPr>
              <w:numPr>
                <w:ilvl w:val="0"/>
                <w:numId w:val="18"/>
              </w:numPr>
              <w:rPr>
                <w:i/>
                <w:iCs/>
              </w:rPr>
            </w:pPr>
            <w:r w:rsidRPr="00B44187">
              <w:rPr>
                <w:i/>
                <w:iCs/>
              </w:rPr>
              <w:t>the Chair of the Scrutiny Committee agrees that the decision is urgent. (If the Chair of the Scrutiny Committee is absent, the Lord Mayor can agree that the decision is urgent. If the Lord Mayor is absent, the Deputy Lord Mayor can agree).</w:t>
            </w:r>
          </w:p>
          <w:p w14:paraId="401C1CCA" w14:textId="77777777" w:rsidR="00B44187" w:rsidRPr="00B44187" w:rsidRDefault="00B44187" w:rsidP="00B44187">
            <w:pPr>
              <w:numPr>
                <w:ilvl w:val="0"/>
                <w:numId w:val="17"/>
              </w:numPr>
              <w:rPr>
                <w:i/>
                <w:iCs/>
              </w:rPr>
            </w:pPr>
            <w:r w:rsidRPr="00B44187">
              <w:rPr>
                <w:i/>
                <w:iCs/>
              </w:rPr>
              <w:t>The record of the decision must say why it was not practicable to arrange a meeting of Council. It must also say that the Chair of the Scrutiny Committee (or Lord Mayor or Deputy Lord Mayor) agreed that the decision was urgent.</w:t>
            </w:r>
          </w:p>
          <w:p w14:paraId="5AFDC801" w14:textId="024E4587" w:rsidR="00B44187" w:rsidRPr="00A87AFF" w:rsidRDefault="00B44187" w:rsidP="00A03828">
            <w:pPr>
              <w:numPr>
                <w:ilvl w:val="0"/>
                <w:numId w:val="17"/>
              </w:numPr>
              <w:rPr>
                <w:i/>
                <w:iCs/>
              </w:rPr>
            </w:pPr>
            <w:r w:rsidRPr="00B44187">
              <w:rPr>
                <w:i/>
                <w:iCs/>
              </w:rPr>
              <w:t>The decision taker must take a full report to the next ordinary Council meeting explaining the decision. This must say why the decision was taken, why it was urgent and why it was not practicable to arrange a meeting of Council. If the next meeting is within seven days of the decision being taken the decision</w:t>
            </w:r>
            <w:r w:rsidR="00A87AFF" w:rsidRPr="00A87AFF">
              <w:rPr>
                <w:i/>
                <w:iCs/>
              </w:rPr>
              <w:t xml:space="preserve"> taker will re</w:t>
            </w:r>
            <w:r w:rsidRPr="00B44187">
              <w:rPr>
                <w:i/>
                <w:iCs/>
              </w:rPr>
              <w:t>port to the next meeting after that.</w:t>
            </w:r>
          </w:p>
          <w:p w14:paraId="127888FB" w14:textId="77777777" w:rsidR="00946D9A" w:rsidRPr="00B44187" w:rsidRDefault="00946D9A" w:rsidP="00B44187">
            <w:pPr>
              <w:rPr>
                <w:i/>
                <w:iCs/>
              </w:rPr>
            </w:pPr>
          </w:p>
          <w:p w14:paraId="2E2B337F" w14:textId="5D79E40A" w:rsidR="00EB00FB" w:rsidRPr="00946D9A" w:rsidRDefault="00495769" w:rsidP="00EB00FB">
            <w:pPr>
              <w:rPr>
                <w:i/>
                <w:iCs/>
              </w:rPr>
            </w:pPr>
            <w:r w:rsidRPr="00946D9A">
              <w:rPr>
                <w:i/>
                <w:iCs/>
              </w:rPr>
              <w:lastRenderedPageBreak/>
              <w:t xml:space="preserve">Constitution </w:t>
            </w:r>
            <w:r w:rsidR="00EB00FB" w:rsidRPr="00946D9A">
              <w:rPr>
                <w:i/>
                <w:iCs/>
              </w:rPr>
              <w:t>Part 15.</w:t>
            </w:r>
            <w:r w:rsidR="00DF4A58" w:rsidRPr="00946D9A">
              <w:rPr>
                <w:i/>
                <w:iCs/>
              </w:rPr>
              <w:t>17</w:t>
            </w:r>
          </w:p>
          <w:p w14:paraId="1B1B31DB" w14:textId="77777777" w:rsidR="00DF4A58" w:rsidRPr="00DF4A58" w:rsidRDefault="00DF4A58" w:rsidP="00DF4A58">
            <w:pPr>
              <w:rPr>
                <w:i/>
                <w:iCs/>
              </w:rPr>
            </w:pPr>
            <w:r w:rsidRPr="00DF4A58">
              <w:rPr>
                <w:i/>
                <w:iCs/>
              </w:rPr>
              <w:t>If a key decision has not been included in the Forward Plan for 28 days, it can still be taken in exceptional circumstances if it is not practicable to put it in the plan and wait 28 days before the decision is taken.</w:t>
            </w:r>
          </w:p>
          <w:p w14:paraId="7D5462BD" w14:textId="77777777" w:rsidR="00DF4A58" w:rsidRPr="00DF4A58" w:rsidRDefault="00DF4A58" w:rsidP="00DF4A58">
            <w:pPr>
              <w:rPr>
                <w:i/>
                <w:iCs/>
              </w:rPr>
            </w:pPr>
            <w:r w:rsidRPr="00DF4A58">
              <w:rPr>
                <w:i/>
                <w:iCs/>
              </w:rPr>
              <w:t>Before taking a key decision that has not been included in the Forward Plan, the Head of Law and Governance must write to the Chair of the Scrutiny Committee (or each member of the committee if there is no chair) and make copies of the letter available to the public at the Council’s offices and publish it on the Council’s website.</w:t>
            </w:r>
          </w:p>
          <w:p w14:paraId="295CF81A" w14:textId="77777777" w:rsidR="00DF4A58" w:rsidRPr="00DF4A58" w:rsidRDefault="00DF4A58" w:rsidP="00DF4A58">
            <w:pPr>
              <w:rPr>
                <w:i/>
                <w:iCs/>
              </w:rPr>
            </w:pPr>
            <w:r w:rsidRPr="00DF4A58">
              <w:rPr>
                <w:i/>
                <w:iCs/>
              </w:rPr>
              <w:t>The decision cannot normally be taken until five clear working days after the chair is told.</w:t>
            </w:r>
          </w:p>
          <w:p w14:paraId="6EA6D8A1" w14:textId="77777777" w:rsidR="00DF4A58" w:rsidRPr="00DF4A58" w:rsidRDefault="00DF4A58" w:rsidP="00DF4A58">
            <w:pPr>
              <w:rPr>
                <w:i/>
                <w:iCs/>
              </w:rPr>
            </w:pPr>
            <w:r w:rsidRPr="00DF4A58">
              <w:rPr>
                <w:i/>
                <w:iCs/>
              </w:rPr>
              <w:t>Where it is not reasonable or practicable to wait until five clear working days have elapsed to take the decision, the Head of Law and Governance must write to the Chair of the Scrutiny Committee (or the Lord Mayor where there is no chair) to obtain agreement that the making of the decision is urgent and cannot reasonably be deferred. As soon as possible after the authority to take the urgent key decision has been obtained the Head of Law and Governance shall make available to the public at the Council’s offices and publish on the Council’s website a notice saying why 28 days’ notice has not been given.</w:t>
            </w:r>
          </w:p>
          <w:p w14:paraId="312EEC39" w14:textId="3BF09BB8" w:rsidR="00DF4A58" w:rsidRPr="00DF4A58" w:rsidRDefault="00DF4A58" w:rsidP="00DF4A58">
            <w:pPr>
              <w:rPr>
                <w:i/>
                <w:iCs/>
              </w:rPr>
            </w:pPr>
            <w:r w:rsidRPr="00DF4A58">
              <w:rPr>
                <w:i/>
                <w:iCs/>
              </w:rPr>
              <w:t>At least once a year the Leader must report to the Council on the number and</w:t>
            </w:r>
            <w:r w:rsidRPr="00946D9A">
              <w:rPr>
                <w:i/>
                <w:iCs/>
              </w:rPr>
              <w:t xml:space="preserve"> </w:t>
            </w:r>
            <w:r w:rsidRPr="00DF4A58">
              <w:rPr>
                <w:i/>
                <w:iCs/>
              </w:rPr>
              <w:t>nature of key decisions taken under 15.17 (Urgent key decisions).</w:t>
            </w:r>
          </w:p>
          <w:p w14:paraId="51B828EA" w14:textId="77777777" w:rsidR="00C47A65" w:rsidRPr="00946D9A" w:rsidRDefault="00C47A65" w:rsidP="000D7BCD">
            <w:pPr>
              <w:rPr>
                <w:i/>
                <w:iCs/>
              </w:rPr>
            </w:pPr>
          </w:p>
          <w:p w14:paraId="5811F892" w14:textId="77777777" w:rsidR="00DF4A58" w:rsidRPr="00946D9A" w:rsidRDefault="00DF4A58" w:rsidP="000D7BCD">
            <w:pPr>
              <w:rPr>
                <w:i/>
                <w:iCs/>
              </w:rPr>
            </w:pPr>
            <w:r w:rsidRPr="00946D9A">
              <w:rPr>
                <w:i/>
                <w:iCs/>
              </w:rPr>
              <w:t>Constitution 17.9</w:t>
            </w:r>
          </w:p>
          <w:p w14:paraId="5C1821C5" w14:textId="77777777" w:rsidR="00946D9A" w:rsidRPr="00946D9A" w:rsidRDefault="00946D9A" w:rsidP="00946D9A">
            <w:pPr>
              <w:rPr>
                <w:i/>
                <w:iCs/>
              </w:rPr>
            </w:pPr>
            <w:r w:rsidRPr="00946D9A">
              <w:rPr>
                <w:i/>
                <w:iCs/>
              </w:rPr>
              <w:t>A decision to be taken cannot be called in if the Chair of the Scrutiny Committee,</w:t>
            </w:r>
          </w:p>
          <w:p w14:paraId="24D472F6" w14:textId="77777777" w:rsidR="00946D9A" w:rsidRPr="00946D9A" w:rsidRDefault="00946D9A" w:rsidP="00946D9A">
            <w:pPr>
              <w:rPr>
                <w:i/>
                <w:iCs/>
              </w:rPr>
            </w:pPr>
            <w:r w:rsidRPr="00946D9A">
              <w:rPr>
                <w:i/>
                <w:iCs/>
              </w:rPr>
              <w:t>upon being consulted, agrees that:</w:t>
            </w:r>
          </w:p>
          <w:p w14:paraId="054B0C88" w14:textId="659A508F" w:rsidR="00946D9A" w:rsidRPr="00946D9A" w:rsidRDefault="00946D9A" w:rsidP="00946D9A">
            <w:pPr>
              <w:pStyle w:val="ListParagraph"/>
              <w:numPr>
                <w:ilvl w:val="0"/>
                <w:numId w:val="19"/>
              </w:numPr>
              <w:rPr>
                <w:i/>
                <w:iCs/>
              </w:rPr>
            </w:pPr>
            <w:r w:rsidRPr="00946D9A">
              <w:rPr>
                <w:i/>
                <w:iCs/>
              </w:rPr>
              <w:t>the decision to be taken is both urgent and reasonable and</w:t>
            </w:r>
          </w:p>
          <w:p w14:paraId="60F696AA" w14:textId="74D8C055" w:rsidR="00946D9A" w:rsidRPr="00946D9A" w:rsidRDefault="00946D9A" w:rsidP="00946D9A">
            <w:pPr>
              <w:pStyle w:val="ListParagraph"/>
              <w:numPr>
                <w:ilvl w:val="0"/>
                <w:numId w:val="19"/>
              </w:numPr>
              <w:rPr>
                <w:i/>
                <w:iCs/>
              </w:rPr>
            </w:pPr>
            <w:r w:rsidRPr="00946D9A">
              <w:rPr>
                <w:i/>
                <w:iCs/>
              </w:rPr>
              <w:t>the delay caused by the call-in process would not be in the interests of the Council or the public.</w:t>
            </w:r>
          </w:p>
          <w:p w14:paraId="69127CF7" w14:textId="2DAB63DE" w:rsidR="00946D9A" w:rsidRPr="00946D9A" w:rsidRDefault="00946D9A" w:rsidP="00946D9A">
            <w:pPr>
              <w:rPr>
                <w:i/>
                <w:iCs/>
              </w:rPr>
            </w:pPr>
            <w:r w:rsidRPr="00946D9A">
              <w:rPr>
                <w:i/>
                <w:iCs/>
              </w:rPr>
              <w:t>If the Chair of the Scrutiny Committee is not available, the Lord Mayor must agree that the decision to be taken is urgent and reasonable. If the Lord Mayor is not available, the Deputy Lord Mayor, Chief Executive or Monitoring Officer must agree.</w:t>
            </w:r>
          </w:p>
          <w:p w14:paraId="05510BAA" w14:textId="77777777" w:rsidR="00946D9A" w:rsidRPr="00946D9A" w:rsidRDefault="00946D9A" w:rsidP="00946D9A">
            <w:pPr>
              <w:rPr>
                <w:i/>
                <w:iCs/>
              </w:rPr>
            </w:pPr>
            <w:r w:rsidRPr="00946D9A">
              <w:rPr>
                <w:i/>
                <w:iCs/>
              </w:rPr>
              <w:t>Decisions to which this rule applies must be identified on the notice of decision.</w:t>
            </w:r>
          </w:p>
          <w:p w14:paraId="11393CDF" w14:textId="77777777" w:rsidR="00946D9A" w:rsidRPr="00946D9A" w:rsidRDefault="00946D9A" w:rsidP="00946D9A">
            <w:pPr>
              <w:rPr>
                <w:i/>
                <w:iCs/>
              </w:rPr>
            </w:pPr>
            <w:r w:rsidRPr="00946D9A">
              <w:rPr>
                <w:i/>
                <w:iCs/>
              </w:rPr>
              <w:lastRenderedPageBreak/>
              <w:t xml:space="preserve">Decisions to which this rule applies must be reported to the next ordinary Council meeting with the </w:t>
            </w:r>
          </w:p>
          <w:p w14:paraId="59206A69" w14:textId="64B43ED9" w:rsidR="00DF4A58" w:rsidRPr="00EB00FB" w:rsidRDefault="00946D9A" w:rsidP="000D7BCD">
            <w:r w:rsidRPr="00946D9A">
              <w:rPr>
                <w:i/>
                <w:iCs/>
              </w:rPr>
              <w:t>reasons why they were urgent. If the next meeting is within seven days of the decision being taken the decision taker will report to the next meeting after that.</w:t>
            </w:r>
          </w:p>
        </w:tc>
      </w:tr>
      <w:tr w:rsidR="00C47A65" w:rsidRPr="004B5FCB" w14:paraId="07CF5FC4" w14:textId="77777777" w:rsidTr="00891F1F">
        <w:tblPrEx>
          <w:tblCellMar>
            <w:top w:w="0" w:type="dxa"/>
            <w:left w:w="108" w:type="dxa"/>
            <w:right w:w="108" w:type="dxa"/>
          </w:tblCellMar>
          <w:tblLook w:val="04A0" w:firstRow="1" w:lastRow="0" w:firstColumn="1" w:lastColumn="0" w:noHBand="0" w:noVBand="1"/>
        </w:tblPrEx>
        <w:tc>
          <w:tcPr>
            <w:tcW w:w="2530" w:type="dxa"/>
            <w:gridSpan w:val="2"/>
            <w:tcBorders>
              <w:top w:val="single" w:sz="4" w:space="0" w:color="auto"/>
              <w:left w:val="single" w:sz="4" w:space="0" w:color="auto"/>
              <w:bottom w:val="single" w:sz="4" w:space="0" w:color="auto"/>
              <w:right w:val="single" w:sz="4" w:space="0" w:color="auto"/>
            </w:tcBorders>
            <w:shd w:val="clear" w:color="auto" w:fill="auto"/>
          </w:tcPr>
          <w:p w14:paraId="35A0BF98" w14:textId="77777777" w:rsidR="00C47A65" w:rsidRPr="004B5FCB" w:rsidRDefault="00C47A65" w:rsidP="00891F1F">
            <w:pPr>
              <w:rPr>
                <w:b/>
                <w:bCs/>
              </w:rPr>
            </w:pPr>
            <w:r w:rsidRPr="004B5FCB">
              <w:rPr>
                <w:b/>
                <w:bCs/>
              </w:rPr>
              <w:lastRenderedPageBreak/>
              <w:t>Reasons for decision</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72E2F49F" w14:textId="7B552500" w:rsidR="00C47A65" w:rsidRPr="004B5FCB" w:rsidRDefault="00284198" w:rsidP="00891F1F">
            <w:r w:rsidRPr="00284198">
              <w:t>The decision enables the development programme to continue to meet the funders timescales.</w:t>
            </w:r>
          </w:p>
        </w:tc>
      </w:tr>
      <w:tr w:rsidR="00C47A65" w:rsidRPr="004B5FCB" w14:paraId="5E3F59EE" w14:textId="77777777" w:rsidTr="00891F1F">
        <w:tblPrEx>
          <w:tblCellMar>
            <w:top w:w="0" w:type="dxa"/>
            <w:left w:w="108" w:type="dxa"/>
            <w:right w:w="108" w:type="dxa"/>
          </w:tblCellMar>
          <w:tblLook w:val="04A0" w:firstRow="1" w:lastRow="0" w:firstColumn="1" w:lastColumn="0" w:noHBand="0" w:noVBand="1"/>
        </w:tblPrEx>
        <w:tc>
          <w:tcPr>
            <w:tcW w:w="2530" w:type="dxa"/>
            <w:gridSpan w:val="2"/>
            <w:tcBorders>
              <w:top w:val="single" w:sz="4" w:space="0" w:color="auto"/>
              <w:left w:val="single" w:sz="4" w:space="0" w:color="auto"/>
              <w:bottom w:val="single" w:sz="4" w:space="0" w:color="auto"/>
              <w:right w:val="single" w:sz="4" w:space="0" w:color="auto"/>
            </w:tcBorders>
            <w:shd w:val="clear" w:color="auto" w:fill="auto"/>
          </w:tcPr>
          <w:p w14:paraId="39999A2D" w14:textId="77777777" w:rsidR="00C47A65" w:rsidRPr="004B5FCB" w:rsidRDefault="00C47A65" w:rsidP="00891F1F">
            <w:pPr>
              <w:rPr>
                <w:b/>
                <w:bCs/>
              </w:rPr>
            </w:pPr>
            <w:r w:rsidRPr="004B5FCB">
              <w:rPr>
                <w:b/>
                <w:bCs/>
              </w:rPr>
              <w:t>Alternative options considered:</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54BC7E1F" w14:textId="5DC70371" w:rsidR="00C47A65" w:rsidRPr="004B5FCB" w:rsidRDefault="00E23EAF" w:rsidP="00FB25C6">
            <w:r w:rsidRPr="00E23EAF">
              <w:t>Proceeding with this route ensures the continuation of the construction works and provides reassurance to the funder that the project will be delivered ahead of the 31 March 2025 deadline mitigating the risk of delay to the programme which would ultimately risk losing the external funding.</w:t>
            </w:r>
          </w:p>
        </w:tc>
      </w:tr>
      <w:tr w:rsidR="00C47A65" w:rsidRPr="004B5FCB" w14:paraId="5CB2FD7A" w14:textId="77777777" w:rsidTr="00891F1F">
        <w:tblPrEx>
          <w:tblCellMar>
            <w:top w:w="0" w:type="dxa"/>
            <w:left w:w="108" w:type="dxa"/>
            <w:right w:w="108" w:type="dxa"/>
          </w:tblCellMar>
          <w:tblLook w:val="04A0" w:firstRow="1" w:lastRow="0" w:firstColumn="1" w:lastColumn="0" w:noHBand="0" w:noVBand="1"/>
        </w:tblPrEx>
        <w:tc>
          <w:tcPr>
            <w:tcW w:w="2530" w:type="dxa"/>
            <w:gridSpan w:val="2"/>
            <w:tcBorders>
              <w:top w:val="single" w:sz="4" w:space="0" w:color="auto"/>
              <w:left w:val="single" w:sz="4" w:space="0" w:color="auto"/>
              <w:bottom w:val="single" w:sz="4" w:space="0" w:color="auto"/>
              <w:right w:val="single" w:sz="4" w:space="0" w:color="auto"/>
            </w:tcBorders>
            <w:shd w:val="clear" w:color="auto" w:fill="auto"/>
          </w:tcPr>
          <w:p w14:paraId="3F69E42A" w14:textId="77777777" w:rsidR="00C47A65" w:rsidRPr="004B5FCB" w:rsidRDefault="00C47A65" w:rsidP="00891F1F">
            <w:pPr>
              <w:rPr>
                <w:b/>
                <w:bCs/>
              </w:rPr>
            </w:pPr>
            <w:r w:rsidRPr="004B5FCB">
              <w:rPr>
                <w:b/>
                <w:bCs/>
              </w:rPr>
              <w:t>Wards significantly affected</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5C62FDE4" w14:textId="77777777" w:rsidR="00C47A65" w:rsidRPr="004B5FCB" w:rsidRDefault="00C47A65" w:rsidP="00891F1F">
            <w:r>
              <w:t>None</w:t>
            </w:r>
          </w:p>
        </w:tc>
      </w:tr>
    </w:tbl>
    <w:p w14:paraId="0A0164EB" w14:textId="2227C222" w:rsidR="00612520" w:rsidRDefault="00612520">
      <w:pPr>
        <w:tabs>
          <w:tab w:val="clear" w:pos="426"/>
        </w:tabs>
        <w:spacing w:after="0"/>
      </w:pPr>
    </w:p>
    <w:p w14:paraId="23FAD9ED" w14:textId="77777777" w:rsidR="009F519F" w:rsidRDefault="009F519F">
      <w:pPr>
        <w:tabs>
          <w:tab w:val="clear" w:pos="426"/>
        </w:tabs>
        <w:spacing w:after="0"/>
      </w:pPr>
    </w:p>
    <w:p w14:paraId="3584FF28" w14:textId="77777777" w:rsidR="009F519F" w:rsidRDefault="009F519F">
      <w:pPr>
        <w:tabs>
          <w:tab w:val="clear" w:pos="426"/>
        </w:tabs>
        <w:spacing w:after="0"/>
      </w:pPr>
    </w:p>
    <w:tbl>
      <w:tblPr>
        <w:tblW w:w="9051"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right w:w="115" w:type="dxa"/>
        </w:tblCellMar>
        <w:tblLook w:val="0000" w:firstRow="0" w:lastRow="0" w:firstColumn="0" w:lastColumn="0" w:noHBand="0" w:noVBand="0"/>
      </w:tblPr>
      <w:tblGrid>
        <w:gridCol w:w="1137"/>
        <w:gridCol w:w="1393"/>
        <w:gridCol w:w="6521"/>
      </w:tblGrid>
      <w:tr w:rsidR="009F519F" w:rsidRPr="004B5FCB" w14:paraId="278CBDA6" w14:textId="77777777" w:rsidTr="004811C2">
        <w:tc>
          <w:tcPr>
            <w:tcW w:w="1137" w:type="dxa"/>
            <w:noWrap/>
          </w:tcPr>
          <w:p w14:paraId="2A5B55A6" w14:textId="2191FB96" w:rsidR="009F519F" w:rsidRPr="004B5FCB" w:rsidRDefault="009F519F" w:rsidP="004811C2">
            <w:pPr>
              <w:rPr>
                <w:b/>
              </w:rPr>
            </w:pPr>
            <w:r w:rsidRPr="004B5FCB">
              <w:rPr>
                <w:b/>
              </w:rPr>
              <w:t xml:space="preserve">ITEM </w:t>
            </w:r>
            <w:r>
              <w:rPr>
                <w:b/>
              </w:rPr>
              <w:t>2</w:t>
            </w:r>
          </w:p>
        </w:tc>
        <w:tc>
          <w:tcPr>
            <w:tcW w:w="7914" w:type="dxa"/>
            <w:gridSpan w:val="2"/>
          </w:tcPr>
          <w:p w14:paraId="0CF17E73" w14:textId="5CE3102C" w:rsidR="009F519F" w:rsidRPr="004B5FCB" w:rsidRDefault="003A0088" w:rsidP="004811C2">
            <w:pPr>
              <w:rPr>
                <w:b/>
              </w:rPr>
            </w:pPr>
            <w:r w:rsidRPr="003A0088">
              <w:rPr>
                <w:b/>
              </w:rPr>
              <w:t>Leys Youth Hub Project at the Leys Leisure Centre</w:t>
            </w:r>
          </w:p>
        </w:tc>
      </w:tr>
      <w:tr w:rsidR="009F519F" w:rsidRPr="00310A58" w14:paraId="6B7DA494" w14:textId="77777777" w:rsidTr="004811C2">
        <w:tblPrEx>
          <w:tblCellMar>
            <w:top w:w="0" w:type="dxa"/>
            <w:left w:w="108" w:type="dxa"/>
            <w:right w:w="108" w:type="dxa"/>
          </w:tblCellMar>
          <w:tblLook w:val="04A0" w:firstRow="1" w:lastRow="0" w:firstColumn="1" w:lastColumn="0" w:noHBand="0" w:noVBand="1"/>
        </w:tblPrEx>
        <w:tc>
          <w:tcPr>
            <w:tcW w:w="9051" w:type="dxa"/>
            <w:gridSpan w:val="3"/>
            <w:tcBorders>
              <w:top w:val="single" w:sz="4" w:space="0" w:color="auto"/>
              <w:left w:val="single" w:sz="4" w:space="0" w:color="auto"/>
              <w:bottom w:val="single" w:sz="4" w:space="0" w:color="auto"/>
              <w:right w:val="single" w:sz="4" w:space="0" w:color="auto"/>
            </w:tcBorders>
            <w:shd w:val="clear" w:color="auto" w:fill="auto"/>
          </w:tcPr>
          <w:p w14:paraId="44182D74" w14:textId="597E1A20" w:rsidR="00E71C65" w:rsidRPr="00E71C65" w:rsidRDefault="00E71C65" w:rsidP="00E71C65">
            <w:pPr>
              <w:numPr>
                <w:ilvl w:val="0"/>
                <w:numId w:val="14"/>
              </w:numPr>
              <w:shd w:val="clear" w:color="auto" w:fill="FFFFFF"/>
              <w:tabs>
                <w:tab w:val="clear" w:pos="426"/>
              </w:tabs>
              <w:spacing w:after="0"/>
              <w:rPr>
                <w:rFonts w:cs="Arial"/>
                <w:szCs w:val="24"/>
                <w:lang w:eastAsia="en-GB"/>
              </w:rPr>
            </w:pPr>
            <w:r w:rsidRPr="00E71C65">
              <w:rPr>
                <w:rFonts w:cs="Arial"/>
                <w:b/>
                <w:bCs/>
                <w:szCs w:val="24"/>
                <w:lang w:eastAsia="en-GB"/>
              </w:rPr>
              <w:t>To enter</w:t>
            </w:r>
            <w:r w:rsidRPr="00E71C65">
              <w:rPr>
                <w:rFonts w:cs="Arial"/>
                <w:szCs w:val="24"/>
                <w:lang w:eastAsia="en-GB"/>
              </w:rPr>
              <w:t xml:space="preserve"> a Design and Build (construction) contract with Oxford Direct Services Limited (ODSL) to create a youth hub based in the Leys Pools &amp; Leisure Centre. </w:t>
            </w:r>
          </w:p>
          <w:p w14:paraId="046D2DAB" w14:textId="6E948BFC" w:rsidR="009F519F" w:rsidRPr="007149B6" w:rsidRDefault="00E71C65" w:rsidP="00E71C65">
            <w:pPr>
              <w:numPr>
                <w:ilvl w:val="0"/>
                <w:numId w:val="14"/>
              </w:numPr>
              <w:shd w:val="clear" w:color="auto" w:fill="FFFFFF"/>
              <w:tabs>
                <w:tab w:val="clear" w:pos="426"/>
              </w:tabs>
              <w:spacing w:after="0"/>
              <w:rPr>
                <w:rFonts w:ascii="Helvetica" w:hAnsi="Helvetica"/>
                <w:color w:val="37474F"/>
                <w:sz w:val="20"/>
                <w:lang w:eastAsia="en-GB"/>
              </w:rPr>
            </w:pPr>
            <w:r w:rsidRPr="00E71C65">
              <w:rPr>
                <w:rFonts w:cs="Arial"/>
                <w:szCs w:val="24"/>
                <w:lang w:eastAsia="en-GB"/>
              </w:rPr>
              <w:t>The contract has a value of £841,829.19 and will be funded by the Youth Investment Fund.</w:t>
            </w:r>
          </w:p>
        </w:tc>
      </w:tr>
      <w:tr w:rsidR="009F519F" w:rsidRPr="004B5FCB" w14:paraId="2BB17CC4" w14:textId="77777777" w:rsidTr="004811C2">
        <w:tblPrEx>
          <w:tblCellMar>
            <w:top w:w="0" w:type="dxa"/>
            <w:left w:w="108" w:type="dxa"/>
            <w:right w:w="108" w:type="dxa"/>
          </w:tblCellMar>
          <w:tblLook w:val="04A0" w:firstRow="1" w:lastRow="0" w:firstColumn="1" w:lastColumn="0" w:noHBand="0" w:noVBand="1"/>
        </w:tblPrEx>
        <w:tc>
          <w:tcPr>
            <w:tcW w:w="2530" w:type="dxa"/>
            <w:gridSpan w:val="2"/>
            <w:tcBorders>
              <w:top w:val="single" w:sz="4" w:space="0" w:color="auto"/>
              <w:left w:val="single" w:sz="4" w:space="0" w:color="auto"/>
              <w:bottom w:val="single" w:sz="4" w:space="0" w:color="auto"/>
              <w:right w:val="single" w:sz="4" w:space="0" w:color="auto"/>
            </w:tcBorders>
            <w:shd w:val="clear" w:color="auto" w:fill="auto"/>
          </w:tcPr>
          <w:p w14:paraId="4E1FA917" w14:textId="77777777" w:rsidR="009F519F" w:rsidRPr="004B5FCB" w:rsidRDefault="009F519F" w:rsidP="004811C2">
            <w:pPr>
              <w:rPr>
                <w:b/>
                <w:bCs/>
              </w:rPr>
            </w:pPr>
            <w:r>
              <w:rPr>
                <w:b/>
                <w:bCs/>
              </w:rPr>
              <w:t xml:space="preserve">Date of </w:t>
            </w:r>
            <w:r w:rsidRPr="004B5FCB">
              <w:rPr>
                <w:b/>
                <w:bCs/>
              </w:rPr>
              <w:t>decision:</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2FA6C3C7" w14:textId="1486FC2B" w:rsidR="009F519F" w:rsidRPr="004B5FCB" w:rsidRDefault="000B1172" w:rsidP="004811C2">
            <w:r>
              <w:t>26 November 2024</w:t>
            </w:r>
          </w:p>
        </w:tc>
      </w:tr>
      <w:tr w:rsidR="009F519F" w:rsidRPr="004B5FCB" w14:paraId="73C6BA07" w14:textId="77777777" w:rsidTr="004811C2">
        <w:tblPrEx>
          <w:tblCellMar>
            <w:top w:w="0" w:type="dxa"/>
            <w:left w:w="108" w:type="dxa"/>
            <w:right w:w="108" w:type="dxa"/>
          </w:tblCellMar>
          <w:tblLook w:val="04A0" w:firstRow="1" w:lastRow="0" w:firstColumn="1" w:lastColumn="0" w:noHBand="0" w:noVBand="1"/>
        </w:tblPrEx>
        <w:tc>
          <w:tcPr>
            <w:tcW w:w="2530" w:type="dxa"/>
            <w:gridSpan w:val="2"/>
            <w:tcBorders>
              <w:top w:val="single" w:sz="4" w:space="0" w:color="auto"/>
              <w:left w:val="single" w:sz="4" w:space="0" w:color="auto"/>
              <w:bottom w:val="single" w:sz="4" w:space="0" w:color="auto"/>
              <w:right w:val="single" w:sz="4" w:space="0" w:color="auto"/>
            </w:tcBorders>
            <w:shd w:val="clear" w:color="auto" w:fill="auto"/>
          </w:tcPr>
          <w:p w14:paraId="530C2C04" w14:textId="77777777" w:rsidR="009F519F" w:rsidRPr="004B5FCB" w:rsidRDefault="009F519F" w:rsidP="004811C2">
            <w:pPr>
              <w:rPr>
                <w:b/>
                <w:bCs/>
              </w:rPr>
            </w:pPr>
            <w:r w:rsidRPr="004B5FCB">
              <w:rPr>
                <w:b/>
                <w:bCs/>
              </w:rPr>
              <w:t>Decision taker</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150173DE" w14:textId="44FD0A45" w:rsidR="009F519F" w:rsidRPr="004B5FCB" w:rsidRDefault="000B1172" w:rsidP="004811C2">
            <w:r>
              <w:t>Peter Matthew – Executive Director (Communities and People)</w:t>
            </w:r>
          </w:p>
        </w:tc>
      </w:tr>
      <w:tr w:rsidR="009F519F" w:rsidRPr="00310A58" w14:paraId="3EE86D9B" w14:textId="77777777" w:rsidTr="004811C2">
        <w:tblPrEx>
          <w:tblCellMar>
            <w:top w:w="0" w:type="dxa"/>
            <w:left w:w="108" w:type="dxa"/>
            <w:right w:w="108" w:type="dxa"/>
          </w:tblCellMar>
          <w:tblLook w:val="04A0" w:firstRow="1" w:lastRow="0" w:firstColumn="1" w:lastColumn="0" w:noHBand="0" w:noVBand="1"/>
        </w:tblPrEx>
        <w:tc>
          <w:tcPr>
            <w:tcW w:w="2530" w:type="dxa"/>
            <w:gridSpan w:val="2"/>
            <w:shd w:val="clear" w:color="auto" w:fill="auto"/>
          </w:tcPr>
          <w:p w14:paraId="29DB8918" w14:textId="77777777" w:rsidR="009F519F" w:rsidRPr="004B5FCB" w:rsidRDefault="009F519F" w:rsidP="004811C2">
            <w:r w:rsidRPr="004B5FCB">
              <w:rPr>
                <w:b/>
              </w:rPr>
              <w:t>Was the decision taken under emergency or urgency rules?</w:t>
            </w:r>
          </w:p>
        </w:tc>
        <w:tc>
          <w:tcPr>
            <w:tcW w:w="6521" w:type="dxa"/>
            <w:shd w:val="clear" w:color="auto" w:fill="auto"/>
          </w:tcPr>
          <w:p w14:paraId="66271C95" w14:textId="77777777" w:rsidR="009F519F" w:rsidRPr="003E0043" w:rsidRDefault="009F519F" w:rsidP="004811C2">
            <w:pPr>
              <w:rPr>
                <w:i/>
                <w:iCs/>
              </w:rPr>
            </w:pPr>
            <w:r w:rsidRPr="003E0043">
              <w:rPr>
                <w:i/>
                <w:iCs/>
              </w:rPr>
              <w:t>Constitution 15.17</w:t>
            </w:r>
          </w:p>
          <w:p w14:paraId="0580692F" w14:textId="77777777" w:rsidR="009F519F" w:rsidRPr="000D7BCD" w:rsidRDefault="009F519F" w:rsidP="004811C2">
            <w:pPr>
              <w:rPr>
                <w:i/>
              </w:rPr>
            </w:pPr>
            <w:r w:rsidRPr="000D7BCD">
              <w:rPr>
                <w:i/>
              </w:rPr>
              <w:t>If a key decision has not been included in the Forward Plan for 28 days, it can still be taken in exceptional circumstances if it is not practicable to put it in the plan and wait 28 days before the decision is taken.</w:t>
            </w:r>
          </w:p>
          <w:p w14:paraId="2A4FD684" w14:textId="77777777" w:rsidR="009F519F" w:rsidRPr="000D7BCD" w:rsidRDefault="009F519F" w:rsidP="004811C2">
            <w:pPr>
              <w:rPr>
                <w:i/>
              </w:rPr>
            </w:pPr>
            <w:r w:rsidRPr="000D7BCD">
              <w:rPr>
                <w:i/>
              </w:rPr>
              <w:t>Before taking a key decision that has not been included in the Forward Plan, the Head of Law and Governance must write to the Chair of the Scrutiny Committee (or each member of the committee if there is no chair) and make copies of the letter available to the public at the Council’s offices and publish it on the Council’s website.</w:t>
            </w:r>
          </w:p>
          <w:p w14:paraId="53E54065" w14:textId="77777777" w:rsidR="009F519F" w:rsidRPr="000D7BCD" w:rsidRDefault="009F519F" w:rsidP="004811C2">
            <w:pPr>
              <w:rPr>
                <w:i/>
              </w:rPr>
            </w:pPr>
            <w:r w:rsidRPr="000D7BCD">
              <w:rPr>
                <w:i/>
              </w:rPr>
              <w:t>The decision cannot normally be taken until five clear working days after the chair is told.</w:t>
            </w:r>
          </w:p>
          <w:p w14:paraId="1CE4569C" w14:textId="77777777" w:rsidR="009F519F" w:rsidRPr="000D7BCD" w:rsidRDefault="009F519F" w:rsidP="004811C2">
            <w:pPr>
              <w:rPr>
                <w:i/>
              </w:rPr>
            </w:pPr>
            <w:r w:rsidRPr="000D7BCD">
              <w:rPr>
                <w:i/>
              </w:rPr>
              <w:t xml:space="preserve">Where it is not reasonable or practicable to wait until five clear working days have elapsed to take the decision, the Head of Law and Governance must write to the Chair of the Scrutiny Committee (or the Lord Mayor where there is no chair) to obtain agreement that the making of the </w:t>
            </w:r>
            <w:r w:rsidRPr="000D7BCD">
              <w:rPr>
                <w:i/>
              </w:rPr>
              <w:lastRenderedPageBreak/>
              <w:t>decision is urgent and cannot reasonably be deferred. As soon as possible after the authority to take the urgent key decision has been obtained the Head of Law and Governance shall make available to the public at the Council’s offices and publish on the Council’s website a notice saying why 28 days’ notice has not been given.</w:t>
            </w:r>
          </w:p>
          <w:p w14:paraId="7EDB5212" w14:textId="77777777" w:rsidR="009F519F" w:rsidRPr="000D7BCD" w:rsidRDefault="009F519F" w:rsidP="004811C2">
            <w:pPr>
              <w:rPr>
                <w:i/>
              </w:rPr>
            </w:pPr>
            <w:r w:rsidRPr="000D7BCD">
              <w:rPr>
                <w:i/>
              </w:rPr>
              <w:t>At least once a year the Leader must report to the Council on the number and</w:t>
            </w:r>
            <w:r>
              <w:rPr>
                <w:i/>
              </w:rPr>
              <w:t xml:space="preserve"> </w:t>
            </w:r>
            <w:r w:rsidRPr="000D7BCD">
              <w:rPr>
                <w:i/>
              </w:rPr>
              <w:t>nature of key decisions taken under 15.17 (Urgent key decisions).</w:t>
            </w:r>
          </w:p>
        </w:tc>
      </w:tr>
      <w:tr w:rsidR="009F519F" w:rsidRPr="004B5FCB" w14:paraId="3ED53C3E" w14:textId="77777777" w:rsidTr="004811C2">
        <w:tblPrEx>
          <w:tblCellMar>
            <w:top w:w="0" w:type="dxa"/>
            <w:left w:w="108" w:type="dxa"/>
            <w:right w:w="108" w:type="dxa"/>
          </w:tblCellMar>
          <w:tblLook w:val="04A0" w:firstRow="1" w:lastRow="0" w:firstColumn="1" w:lastColumn="0" w:noHBand="0" w:noVBand="1"/>
        </w:tblPrEx>
        <w:tc>
          <w:tcPr>
            <w:tcW w:w="2530" w:type="dxa"/>
            <w:gridSpan w:val="2"/>
            <w:tcBorders>
              <w:top w:val="single" w:sz="4" w:space="0" w:color="auto"/>
              <w:left w:val="single" w:sz="4" w:space="0" w:color="auto"/>
              <w:bottom w:val="single" w:sz="4" w:space="0" w:color="auto"/>
              <w:right w:val="single" w:sz="4" w:space="0" w:color="auto"/>
            </w:tcBorders>
            <w:shd w:val="clear" w:color="auto" w:fill="auto"/>
          </w:tcPr>
          <w:p w14:paraId="75C1B0E4" w14:textId="77777777" w:rsidR="009F519F" w:rsidRPr="004B5FCB" w:rsidRDefault="009F519F" w:rsidP="004811C2">
            <w:pPr>
              <w:rPr>
                <w:b/>
                <w:bCs/>
              </w:rPr>
            </w:pPr>
            <w:r w:rsidRPr="004B5FCB">
              <w:rPr>
                <w:b/>
                <w:bCs/>
              </w:rPr>
              <w:lastRenderedPageBreak/>
              <w:t>Reasons for decision</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22AC1603" w14:textId="2C43FCCD" w:rsidR="009F519F" w:rsidRPr="004B5FCB" w:rsidRDefault="00B32734" w:rsidP="004811C2">
            <w:r w:rsidRPr="00B32734">
              <w:t>The decision enables the development programme to continue to meet the funders timescales.</w:t>
            </w:r>
          </w:p>
        </w:tc>
      </w:tr>
      <w:tr w:rsidR="009F519F" w:rsidRPr="004B5FCB" w14:paraId="169E3A82" w14:textId="77777777" w:rsidTr="004811C2">
        <w:tblPrEx>
          <w:tblCellMar>
            <w:top w:w="0" w:type="dxa"/>
            <w:left w:w="108" w:type="dxa"/>
            <w:right w:w="108" w:type="dxa"/>
          </w:tblCellMar>
          <w:tblLook w:val="04A0" w:firstRow="1" w:lastRow="0" w:firstColumn="1" w:lastColumn="0" w:noHBand="0" w:noVBand="1"/>
        </w:tblPrEx>
        <w:tc>
          <w:tcPr>
            <w:tcW w:w="2530" w:type="dxa"/>
            <w:gridSpan w:val="2"/>
            <w:tcBorders>
              <w:top w:val="single" w:sz="4" w:space="0" w:color="auto"/>
              <w:left w:val="single" w:sz="4" w:space="0" w:color="auto"/>
              <w:bottom w:val="single" w:sz="4" w:space="0" w:color="auto"/>
              <w:right w:val="single" w:sz="4" w:space="0" w:color="auto"/>
            </w:tcBorders>
            <w:shd w:val="clear" w:color="auto" w:fill="auto"/>
          </w:tcPr>
          <w:p w14:paraId="1574F77C" w14:textId="77777777" w:rsidR="009F519F" w:rsidRPr="004B5FCB" w:rsidRDefault="009F519F" w:rsidP="004811C2">
            <w:pPr>
              <w:rPr>
                <w:b/>
                <w:bCs/>
              </w:rPr>
            </w:pPr>
            <w:r w:rsidRPr="004B5FCB">
              <w:rPr>
                <w:b/>
                <w:bCs/>
              </w:rPr>
              <w:t>Alternative options considered:</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4347052C" w14:textId="77777777" w:rsidR="009F519F" w:rsidRPr="004B5FCB" w:rsidRDefault="009F519F" w:rsidP="004811C2">
            <w:r>
              <w:t>None</w:t>
            </w:r>
          </w:p>
        </w:tc>
      </w:tr>
      <w:tr w:rsidR="009F519F" w:rsidRPr="004B5FCB" w14:paraId="754B9B36" w14:textId="77777777" w:rsidTr="004811C2">
        <w:tblPrEx>
          <w:tblCellMar>
            <w:top w:w="0" w:type="dxa"/>
            <w:left w:w="108" w:type="dxa"/>
            <w:right w:w="108" w:type="dxa"/>
          </w:tblCellMar>
          <w:tblLook w:val="04A0" w:firstRow="1" w:lastRow="0" w:firstColumn="1" w:lastColumn="0" w:noHBand="0" w:noVBand="1"/>
        </w:tblPrEx>
        <w:tc>
          <w:tcPr>
            <w:tcW w:w="2530" w:type="dxa"/>
            <w:gridSpan w:val="2"/>
            <w:tcBorders>
              <w:top w:val="single" w:sz="4" w:space="0" w:color="auto"/>
              <w:left w:val="single" w:sz="4" w:space="0" w:color="auto"/>
              <w:bottom w:val="single" w:sz="4" w:space="0" w:color="auto"/>
              <w:right w:val="single" w:sz="4" w:space="0" w:color="auto"/>
            </w:tcBorders>
            <w:shd w:val="clear" w:color="auto" w:fill="auto"/>
          </w:tcPr>
          <w:p w14:paraId="4F3758AE" w14:textId="77777777" w:rsidR="009F519F" w:rsidRPr="004B5FCB" w:rsidRDefault="009F519F" w:rsidP="004811C2">
            <w:pPr>
              <w:rPr>
                <w:b/>
                <w:bCs/>
              </w:rPr>
            </w:pPr>
            <w:r w:rsidRPr="004B5FCB">
              <w:rPr>
                <w:b/>
                <w:bCs/>
              </w:rPr>
              <w:t>Wards significantly affected</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1951E1AE" w14:textId="77777777" w:rsidR="009F519F" w:rsidRPr="004B5FCB" w:rsidRDefault="009F519F" w:rsidP="004811C2">
            <w:r>
              <w:t>None</w:t>
            </w:r>
          </w:p>
        </w:tc>
      </w:tr>
    </w:tbl>
    <w:p w14:paraId="32095053" w14:textId="77777777" w:rsidR="009F519F" w:rsidRDefault="009F519F">
      <w:pPr>
        <w:tabs>
          <w:tab w:val="clear" w:pos="426"/>
        </w:tabs>
        <w:spacing w:after="0"/>
      </w:pPr>
    </w:p>
    <w:p w14:paraId="3BDBE447" w14:textId="77777777" w:rsidR="009F519F" w:rsidRDefault="009F519F">
      <w:pPr>
        <w:tabs>
          <w:tab w:val="clear" w:pos="426"/>
        </w:tabs>
        <w:spacing w:after="0"/>
      </w:pPr>
    </w:p>
    <w:tbl>
      <w:tblPr>
        <w:tblW w:w="9051"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right w:w="115" w:type="dxa"/>
        </w:tblCellMar>
        <w:tblLook w:val="0000" w:firstRow="0" w:lastRow="0" w:firstColumn="0" w:lastColumn="0" w:noHBand="0" w:noVBand="0"/>
      </w:tblPr>
      <w:tblGrid>
        <w:gridCol w:w="1137"/>
        <w:gridCol w:w="1393"/>
        <w:gridCol w:w="6521"/>
      </w:tblGrid>
      <w:tr w:rsidR="009F519F" w:rsidRPr="004B5FCB" w14:paraId="1FB405E4" w14:textId="77777777" w:rsidTr="004811C2">
        <w:tc>
          <w:tcPr>
            <w:tcW w:w="1137" w:type="dxa"/>
            <w:noWrap/>
          </w:tcPr>
          <w:p w14:paraId="6F7D0178" w14:textId="27EA2185" w:rsidR="009F519F" w:rsidRPr="004B5FCB" w:rsidRDefault="009F519F" w:rsidP="004811C2">
            <w:pPr>
              <w:rPr>
                <w:b/>
              </w:rPr>
            </w:pPr>
            <w:r w:rsidRPr="004B5FCB">
              <w:rPr>
                <w:b/>
              </w:rPr>
              <w:t xml:space="preserve">ITEM </w:t>
            </w:r>
            <w:r>
              <w:rPr>
                <w:b/>
              </w:rPr>
              <w:t>3</w:t>
            </w:r>
          </w:p>
        </w:tc>
        <w:tc>
          <w:tcPr>
            <w:tcW w:w="7914" w:type="dxa"/>
            <w:gridSpan w:val="2"/>
          </w:tcPr>
          <w:p w14:paraId="29AE5307" w14:textId="2C4DAAAC" w:rsidR="009F519F" w:rsidRPr="00F1673D" w:rsidRDefault="00DB7CAB" w:rsidP="004811C2">
            <w:pPr>
              <w:rPr>
                <w:b/>
                <w:bCs/>
              </w:rPr>
            </w:pPr>
            <w:r w:rsidRPr="00F1673D">
              <w:rPr>
                <w:rFonts w:cs="Arial"/>
                <w:b/>
                <w:bCs/>
              </w:rPr>
              <w:t>Disposal of City Council Owned Land</w:t>
            </w:r>
          </w:p>
        </w:tc>
      </w:tr>
      <w:tr w:rsidR="009F519F" w:rsidRPr="00310A58" w14:paraId="751CBA3C" w14:textId="77777777" w:rsidTr="004811C2">
        <w:tblPrEx>
          <w:tblCellMar>
            <w:top w:w="0" w:type="dxa"/>
            <w:left w:w="108" w:type="dxa"/>
            <w:right w:w="108" w:type="dxa"/>
          </w:tblCellMar>
          <w:tblLook w:val="04A0" w:firstRow="1" w:lastRow="0" w:firstColumn="1" w:lastColumn="0" w:noHBand="0" w:noVBand="1"/>
        </w:tblPrEx>
        <w:tc>
          <w:tcPr>
            <w:tcW w:w="9051" w:type="dxa"/>
            <w:gridSpan w:val="3"/>
            <w:tcBorders>
              <w:top w:val="single" w:sz="4" w:space="0" w:color="auto"/>
              <w:left w:val="single" w:sz="4" w:space="0" w:color="auto"/>
              <w:bottom w:val="single" w:sz="4" w:space="0" w:color="auto"/>
              <w:right w:val="single" w:sz="4" w:space="0" w:color="auto"/>
            </w:tcBorders>
            <w:shd w:val="clear" w:color="auto" w:fill="auto"/>
          </w:tcPr>
          <w:p w14:paraId="7AB10BC0" w14:textId="179A016B" w:rsidR="009F519F" w:rsidRPr="007149B6" w:rsidRDefault="0068261E" w:rsidP="009F519F">
            <w:pPr>
              <w:numPr>
                <w:ilvl w:val="0"/>
                <w:numId w:val="14"/>
              </w:numPr>
              <w:shd w:val="clear" w:color="auto" w:fill="FFFFFF"/>
              <w:tabs>
                <w:tab w:val="clear" w:pos="426"/>
              </w:tabs>
              <w:spacing w:after="0"/>
              <w:rPr>
                <w:rFonts w:ascii="Helvetica" w:hAnsi="Helvetica"/>
                <w:color w:val="37474F"/>
                <w:sz w:val="20"/>
                <w:lang w:eastAsia="en-GB"/>
              </w:rPr>
            </w:pPr>
            <w:r>
              <w:rPr>
                <w:rFonts w:cs="Arial"/>
                <w:szCs w:val="24"/>
                <w:lang w:eastAsia="en-GB"/>
              </w:rPr>
              <w:t xml:space="preserve">To </w:t>
            </w:r>
            <w:r w:rsidRPr="0068261E">
              <w:rPr>
                <w:rFonts w:cs="Arial"/>
                <w:szCs w:val="24"/>
                <w:lang w:eastAsia="en-GB"/>
              </w:rPr>
              <w:t xml:space="preserve">enter into the contracts and agreements to confirm the sale of the land.  The details of the terms are commercially sensitive and as such are exempt under Part 15.4 (c) of the constitution. Confirmation has been received that the proposal meets the requirements of S123 of the Local Government Act 1972. A legal report has also confirmed the terms of the sale. </w:t>
            </w:r>
          </w:p>
        </w:tc>
      </w:tr>
      <w:tr w:rsidR="009F519F" w:rsidRPr="004B5FCB" w14:paraId="0719C73F" w14:textId="77777777" w:rsidTr="004811C2">
        <w:tblPrEx>
          <w:tblCellMar>
            <w:top w:w="0" w:type="dxa"/>
            <w:left w:w="108" w:type="dxa"/>
            <w:right w:w="108" w:type="dxa"/>
          </w:tblCellMar>
          <w:tblLook w:val="04A0" w:firstRow="1" w:lastRow="0" w:firstColumn="1" w:lastColumn="0" w:noHBand="0" w:noVBand="1"/>
        </w:tblPrEx>
        <w:tc>
          <w:tcPr>
            <w:tcW w:w="2530" w:type="dxa"/>
            <w:gridSpan w:val="2"/>
            <w:tcBorders>
              <w:top w:val="single" w:sz="4" w:space="0" w:color="auto"/>
              <w:left w:val="single" w:sz="4" w:space="0" w:color="auto"/>
              <w:bottom w:val="single" w:sz="4" w:space="0" w:color="auto"/>
              <w:right w:val="single" w:sz="4" w:space="0" w:color="auto"/>
            </w:tcBorders>
            <w:shd w:val="clear" w:color="auto" w:fill="auto"/>
          </w:tcPr>
          <w:p w14:paraId="6A2188CE" w14:textId="77777777" w:rsidR="009F519F" w:rsidRPr="004B5FCB" w:rsidRDefault="009F519F" w:rsidP="004811C2">
            <w:pPr>
              <w:rPr>
                <w:b/>
                <w:bCs/>
              </w:rPr>
            </w:pPr>
            <w:r>
              <w:rPr>
                <w:b/>
                <w:bCs/>
              </w:rPr>
              <w:t xml:space="preserve">Date of </w:t>
            </w:r>
            <w:r w:rsidRPr="004B5FCB">
              <w:rPr>
                <w:b/>
                <w:bCs/>
              </w:rPr>
              <w:t>decision:</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238A2E2A" w14:textId="5B2D1913" w:rsidR="009F519F" w:rsidRPr="004B5FCB" w:rsidRDefault="0068261E" w:rsidP="004811C2">
            <w:r>
              <w:t>23 December 2024</w:t>
            </w:r>
          </w:p>
        </w:tc>
      </w:tr>
      <w:tr w:rsidR="009F519F" w:rsidRPr="004B5FCB" w14:paraId="0476055D" w14:textId="77777777" w:rsidTr="004811C2">
        <w:tblPrEx>
          <w:tblCellMar>
            <w:top w:w="0" w:type="dxa"/>
            <w:left w:w="108" w:type="dxa"/>
            <w:right w:w="108" w:type="dxa"/>
          </w:tblCellMar>
          <w:tblLook w:val="04A0" w:firstRow="1" w:lastRow="0" w:firstColumn="1" w:lastColumn="0" w:noHBand="0" w:noVBand="1"/>
        </w:tblPrEx>
        <w:tc>
          <w:tcPr>
            <w:tcW w:w="2530" w:type="dxa"/>
            <w:gridSpan w:val="2"/>
            <w:tcBorders>
              <w:top w:val="single" w:sz="4" w:space="0" w:color="auto"/>
              <w:left w:val="single" w:sz="4" w:space="0" w:color="auto"/>
              <w:bottom w:val="single" w:sz="4" w:space="0" w:color="auto"/>
              <w:right w:val="single" w:sz="4" w:space="0" w:color="auto"/>
            </w:tcBorders>
            <w:shd w:val="clear" w:color="auto" w:fill="auto"/>
          </w:tcPr>
          <w:p w14:paraId="02FD6207" w14:textId="7A96DE63" w:rsidR="009F519F" w:rsidRPr="004B5FCB" w:rsidRDefault="009F519F" w:rsidP="004811C2">
            <w:pPr>
              <w:rPr>
                <w:b/>
                <w:bCs/>
              </w:rPr>
            </w:pPr>
            <w:r w:rsidRPr="004B5FCB">
              <w:rPr>
                <w:b/>
                <w:bCs/>
              </w:rPr>
              <w:t>Decision taker</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4DA66B7A" w14:textId="14514E19" w:rsidR="009F519F" w:rsidRPr="004B5FCB" w:rsidRDefault="0068261E" w:rsidP="004811C2">
            <w:r>
              <w:t>Tom Bridgman – Executive Director (Development)</w:t>
            </w:r>
          </w:p>
        </w:tc>
      </w:tr>
      <w:tr w:rsidR="009F519F" w:rsidRPr="00310A58" w14:paraId="0A345BB1" w14:textId="77777777" w:rsidTr="004811C2">
        <w:tblPrEx>
          <w:tblCellMar>
            <w:top w:w="0" w:type="dxa"/>
            <w:left w:w="108" w:type="dxa"/>
            <w:right w:w="108" w:type="dxa"/>
          </w:tblCellMar>
          <w:tblLook w:val="04A0" w:firstRow="1" w:lastRow="0" w:firstColumn="1" w:lastColumn="0" w:noHBand="0" w:noVBand="1"/>
        </w:tblPrEx>
        <w:tc>
          <w:tcPr>
            <w:tcW w:w="2530" w:type="dxa"/>
            <w:gridSpan w:val="2"/>
            <w:shd w:val="clear" w:color="auto" w:fill="auto"/>
          </w:tcPr>
          <w:p w14:paraId="3EB86354" w14:textId="77777777" w:rsidR="009F519F" w:rsidRPr="004B5FCB" w:rsidRDefault="009F519F" w:rsidP="004811C2">
            <w:r w:rsidRPr="004B5FCB">
              <w:rPr>
                <w:b/>
              </w:rPr>
              <w:t>Was the decision taken under emergency or urgency rules?</w:t>
            </w:r>
          </w:p>
        </w:tc>
        <w:tc>
          <w:tcPr>
            <w:tcW w:w="6521" w:type="dxa"/>
            <w:shd w:val="clear" w:color="auto" w:fill="auto"/>
          </w:tcPr>
          <w:p w14:paraId="42C75D3D" w14:textId="77777777" w:rsidR="009F519F" w:rsidRPr="000D7BCD" w:rsidRDefault="009F519F" w:rsidP="004811C2">
            <w:r w:rsidRPr="000D7BCD">
              <w:t xml:space="preserve">Constitution </w:t>
            </w:r>
            <w:r>
              <w:t>15.17</w:t>
            </w:r>
          </w:p>
          <w:p w14:paraId="7550D130" w14:textId="77777777" w:rsidR="009F519F" w:rsidRPr="000D7BCD" w:rsidRDefault="009F519F" w:rsidP="004811C2">
            <w:pPr>
              <w:rPr>
                <w:i/>
              </w:rPr>
            </w:pPr>
            <w:r w:rsidRPr="000D7BCD">
              <w:rPr>
                <w:i/>
              </w:rPr>
              <w:t>If a key decision has not been included in the Forward Plan for 28 days, it can still be taken in exceptional circumstances if it is not practicable to put it in the plan and wait 28 days before the decision is taken.</w:t>
            </w:r>
          </w:p>
          <w:p w14:paraId="38760B16" w14:textId="77777777" w:rsidR="009F519F" w:rsidRPr="000D7BCD" w:rsidRDefault="009F519F" w:rsidP="004811C2">
            <w:pPr>
              <w:rPr>
                <w:i/>
              </w:rPr>
            </w:pPr>
            <w:r w:rsidRPr="000D7BCD">
              <w:rPr>
                <w:i/>
              </w:rPr>
              <w:t>Before taking a key decision that has not been included in the Forward Plan, the Head of Law and Governance must write to the Chair of the Scrutiny Committee (or each member of the committee if there is no chair) and make copies of the letter available to the public at the Council’s offices and publish it on the Council’s website.</w:t>
            </w:r>
          </w:p>
          <w:p w14:paraId="23940D28" w14:textId="77777777" w:rsidR="009F519F" w:rsidRPr="000D7BCD" w:rsidRDefault="009F519F" w:rsidP="004811C2">
            <w:pPr>
              <w:rPr>
                <w:i/>
              </w:rPr>
            </w:pPr>
            <w:r w:rsidRPr="000D7BCD">
              <w:rPr>
                <w:i/>
              </w:rPr>
              <w:t>The decision cannot normally be taken until five clear working days after the chair is told.</w:t>
            </w:r>
          </w:p>
          <w:p w14:paraId="01C979EC" w14:textId="77777777" w:rsidR="009F519F" w:rsidRPr="000D7BCD" w:rsidRDefault="009F519F" w:rsidP="004811C2">
            <w:pPr>
              <w:rPr>
                <w:i/>
              </w:rPr>
            </w:pPr>
            <w:r w:rsidRPr="000D7BCD">
              <w:rPr>
                <w:i/>
              </w:rPr>
              <w:t xml:space="preserve">Where it is not reasonable or practicable to wait until five clear working days have elapsed to take the decision, the Head of Law and Governance must write to the Chair of the Scrutiny Committee (or the Lord Mayor where there is no chair) to obtain agreement that the making of the decision is urgent and cannot reasonably be deferred. As soon as possible after the authority to take the urgent key </w:t>
            </w:r>
            <w:r w:rsidRPr="000D7BCD">
              <w:rPr>
                <w:i/>
              </w:rPr>
              <w:lastRenderedPageBreak/>
              <w:t>decision has been obtained the Head of Law and Governance shall make available to the public at the Council’s offices and publish on the Council’s website a notice saying why 28 days’ notice has not been given.</w:t>
            </w:r>
          </w:p>
          <w:p w14:paraId="617D98F8" w14:textId="77777777" w:rsidR="009F519F" w:rsidRDefault="009F519F" w:rsidP="004811C2">
            <w:pPr>
              <w:rPr>
                <w:i/>
              </w:rPr>
            </w:pPr>
            <w:r w:rsidRPr="000D7BCD">
              <w:rPr>
                <w:i/>
              </w:rPr>
              <w:t>At least once a year the Leader must report to the Council on the number and</w:t>
            </w:r>
            <w:r>
              <w:rPr>
                <w:i/>
              </w:rPr>
              <w:t xml:space="preserve"> </w:t>
            </w:r>
            <w:r w:rsidRPr="000D7BCD">
              <w:rPr>
                <w:i/>
              </w:rPr>
              <w:t>nature of key decisions taken under 15.17 (Urgent key decisions).</w:t>
            </w:r>
          </w:p>
          <w:p w14:paraId="16C46470" w14:textId="77777777" w:rsidR="0087200A" w:rsidRDefault="0087200A" w:rsidP="004811C2">
            <w:pPr>
              <w:rPr>
                <w:iCs/>
              </w:rPr>
            </w:pPr>
          </w:p>
          <w:p w14:paraId="4ECE68A3" w14:textId="77777777" w:rsidR="0087200A" w:rsidRDefault="0087200A" w:rsidP="004811C2">
            <w:pPr>
              <w:rPr>
                <w:iCs/>
              </w:rPr>
            </w:pPr>
            <w:r>
              <w:rPr>
                <w:iCs/>
              </w:rPr>
              <w:t>Constitution 17.9</w:t>
            </w:r>
          </w:p>
          <w:p w14:paraId="142C3B78" w14:textId="4D8CFEA7" w:rsidR="00647DFC" w:rsidRPr="00647DFC" w:rsidRDefault="00647DFC" w:rsidP="00647DFC">
            <w:pPr>
              <w:rPr>
                <w:i/>
              </w:rPr>
            </w:pPr>
            <w:r w:rsidRPr="00647DFC">
              <w:rPr>
                <w:i/>
              </w:rPr>
              <w:t>A decision to be taken cannot be called in if the Chair of the Scrutiny Committee,</w:t>
            </w:r>
            <w:r w:rsidRPr="004E7C6B">
              <w:rPr>
                <w:i/>
              </w:rPr>
              <w:t xml:space="preserve"> </w:t>
            </w:r>
            <w:r w:rsidRPr="00647DFC">
              <w:rPr>
                <w:i/>
              </w:rPr>
              <w:t>upon being consulted, agrees that:</w:t>
            </w:r>
          </w:p>
          <w:p w14:paraId="7FF21D3E" w14:textId="77777777" w:rsidR="00647DFC" w:rsidRPr="00647DFC" w:rsidRDefault="00647DFC" w:rsidP="00647DFC">
            <w:pPr>
              <w:numPr>
                <w:ilvl w:val="0"/>
                <w:numId w:val="18"/>
              </w:numPr>
              <w:rPr>
                <w:i/>
              </w:rPr>
            </w:pPr>
            <w:r w:rsidRPr="00647DFC">
              <w:rPr>
                <w:i/>
              </w:rPr>
              <w:t>the decision to be taken is both urgent and reasonable and</w:t>
            </w:r>
          </w:p>
          <w:p w14:paraId="0658CBA3" w14:textId="77777777" w:rsidR="00647DFC" w:rsidRPr="00647DFC" w:rsidRDefault="00647DFC" w:rsidP="00647DFC">
            <w:pPr>
              <w:numPr>
                <w:ilvl w:val="0"/>
                <w:numId w:val="18"/>
              </w:numPr>
              <w:rPr>
                <w:i/>
              </w:rPr>
            </w:pPr>
            <w:r w:rsidRPr="00647DFC">
              <w:rPr>
                <w:i/>
              </w:rPr>
              <w:t>the delay caused by the call-in process would not be in the interests of the Council or the public.</w:t>
            </w:r>
          </w:p>
          <w:p w14:paraId="1788E649" w14:textId="77777777" w:rsidR="00647DFC" w:rsidRPr="00647DFC" w:rsidRDefault="00647DFC" w:rsidP="00647DFC">
            <w:pPr>
              <w:rPr>
                <w:i/>
              </w:rPr>
            </w:pPr>
            <w:r w:rsidRPr="00647DFC">
              <w:rPr>
                <w:i/>
              </w:rPr>
              <w:t>If the Chair of the Scrutiny Committee is not available, the Lord Mayor must agree that the decision to be taken is urgent and reasonable. If the Lord Mayor is not available, the Deputy Lord Mayor, Chief Executive or Monitoring Officer must agree.</w:t>
            </w:r>
          </w:p>
          <w:p w14:paraId="79F74F97" w14:textId="77777777" w:rsidR="00647DFC" w:rsidRPr="00647DFC" w:rsidRDefault="00647DFC" w:rsidP="00647DFC">
            <w:pPr>
              <w:rPr>
                <w:i/>
              </w:rPr>
            </w:pPr>
            <w:r w:rsidRPr="00647DFC">
              <w:rPr>
                <w:i/>
              </w:rPr>
              <w:t>Decisions to which this rule applies must be identified on the notice of decision.</w:t>
            </w:r>
          </w:p>
          <w:p w14:paraId="295703AA" w14:textId="0A47B17D" w:rsidR="0087200A" w:rsidRPr="004E7C6B" w:rsidRDefault="00647DFC" w:rsidP="004811C2">
            <w:pPr>
              <w:rPr>
                <w:i/>
              </w:rPr>
            </w:pPr>
            <w:r w:rsidRPr="00647DFC">
              <w:rPr>
                <w:i/>
              </w:rPr>
              <w:t>Decisions to which this rule applies must be reported to the next ordinary Council meeting with the reasons why they were urgent. If the next meeting is within seven days of the decision being taken the decision taker will report to the next</w:t>
            </w:r>
            <w:r w:rsidR="004E7C6B" w:rsidRPr="004E7C6B">
              <w:rPr>
                <w:i/>
              </w:rPr>
              <w:t xml:space="preserve"> mee</w:t>
            </w:r>
            <w:r w:rsidRPr="00647DFC">
              <w:rPr>
                <w:i/>
              </w:rPr>
              <w:t>ting after that.</w:t>
            </w:r>
          </w:p>
        </w:tc>
      </w:tr>
      <w:tr w:rsidR="009F519F" w:rsidRPr="004B5FCB" w14:paraId="32B47CAC" w14:textId="77777777" w:rsidTr="004811C2">
        <w:tblPrEx>
          <w:tblCellMar>
            <w:top w:w="0" w:type="dxa"/>
            <w:left w:w="108" w:type="dxa"/>
            <w:right w:w="108" w:type="dxa"/>
          </w:tblCellMar>
          <w:tblLook w:val="04A0" w:firstRow="1" w:lastRow="0" w:firstColumn="1" w:lastColumn="0" w:noHBand="0" w:noVBand="1"/>
        </w:tblPrEx>
        <w:tc>
          <w:tcPr>
            <w:tcW w:w="2530" w:type="dxa"/>
            <w:gridSpan w:val="2"/>
            <w:tcBorders>
              <w:top w:val="single" w:sz="4" w:space="0" w:color="auto"/>
              <w:left w:val="single" w:sz="4" w:space="0" w:color="auto"/>
              <w:bottom w:val="single" w:sz="4" w:space="0" w:color="auto"/>
              <w:right w:val="single" w:sz="4" w:space="0" w:color="auto"/>
            </w:tcBorders>
            <w:shd w:val="clear" w:color="auto" w:fill="auto"/>
          </w:tcPr>
          <w:p w14:paraId="15AE51FF" w14:textId="77777777" w:rsidR="009F519F" w:rsidRPr="004B5FCB" w:rsidRDefault="009F519F" w:rsidP="004811C2">
            <w:pPr>
              <w:rPr>
                <w:b/>
                <w:bCs/>
              </w:rPr>
            </w:pPr>
            <w:r w:rsidRPr="004B5FCB">
              <w:rPr>
                <w:b/>
                <w:bCs/>
              </w:rPr>
              <w:lastRenderedPageBreak/>
              <w:t>Reasons for decision</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5B8C5C0E" w14:textId="4F25F86F" w:rsidR="009F519F" w:rsidRPr="004B5FCB" w:rsidRDefault="00F54F11" w:rsidP="004811C2">
            <w:r w:rsidRPr="00F54F11">
              <w:t>The detailed terms of the sale of the land have now been agreed and contract drafted. The agreement of the detailed drafting of these terms was delegated by the Cabinet and this decision records their agreement and enables the necessary documents for the sale to be entered into.</w:t>
            </w:r>
          </w:p>
        </w:tc>
      </w:tr>
      <w:tr w:rsidR="009F519F" w:rsidRPr="004B5FCB" w14:paraId="348B9EBA" w14:textId="77777777" w:rsidTr="004811C2">
        <w:tblPrEx>
          <w:tblCellMar>
            <w:top w:w="0" w:type="dxa"/>
            <w:left w:w="108" w:type="dxa"/>
            <w:right w:w="108" w:type="dxa"/>
          </w:tblCellMar>
          <w:tblLook w:val="04A0" w:firstRow="1" w:lastRow="0" w:firstColumn="1" w:lastColumn="0" w:noHBand="0" w:noVBand="1"/>
        </w:tblPrEx>
        <w:tc>
          <w:tcPr>
            <w:tcW w:w="2530" w:type="dxa"/>
            <w:gridSpan w:val="2"/>
            <w:tcBorders>
              <w:top w:val="single" w:sz="4" w:space="0" w:color="auto"/>
              <w:left w:val="single" w:sz="4" w:space="0" w:color="auto"/>
              <w:bottom w:val="single" w:sz="4" w:space="0" w:color="auto"/>
              <w:right w:val="single" w:sz="4" w:space="0" w:color="auto"/>
            </w:tcBorders>
            <w:shd w:val="clear" w:color="auto" w:fill="auto"/>
          </w:tcPr>
          <w:p w14:paraId="511FA86D" w14:textId="77777777" w:rsidR="009F519F" w:rsidRPr="004B5FCB" w:rsidRDefault="009F519F" w:rsidP="004811C2">
            <w:pPr>
              <w:rPr>
                <w:b/>
                <w:bCs/>
              </w:rPr>
            </w:pPr>
            <w:r w:rsidRPr="004B5FCB">
              <w:rPr>
                <w:b/>
                <w:bCs/>
              </w:rPr>
              <w:t>Alternative options considered:</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468D448D" w14:textId="78FE0FA4" w:rsidR="009F519F" w:rsidRPr="004B5FCB" w:rsidRDefault="00C00BBC" w:rsidP="004811C2">
            <w:r w:rsidRPr="00C00BBC">
              <w:t>The other option available to the Council was not to agree terms and complete the sale. This would prevent the Council from achieving the capital receipt. In addition to delay agreeing terms would increase the risk that new or changed requirements could be added that would make the deal less attractive.</w:t>
            </w:r>
          </w:p>
        </w:tc>
      </w:tr>
      <w:tr w:rsidR="009F519F" w:rsidRPr="004B5FCB" w14:paraId="38DFDAC9" w14:textId="77777777" w:rsidTr="004811C2">
        <w:tblPrEx>
          <w:tblCellMar>
            <w:top w:w="0" w:type="dxa"/>
            <w:left w:w="108" w:type="dxa"/>
            <w:right w:w="108" w:type="dxa"/>
          </w:tblCellMar>
          <w:tblLook w:val="04A0" w:firstRow="1" w:lastRow="0" w:firstColumn="1" w:lastColumn="0" w:noHBand="0" w:noVBand="1"/>
        </w:tblPrEx>
        <w:tc>
          <w:tcPr>
            <w:tcW w:w="2530" w:type="dxa"/>
            <w:gridSpan w:val="2"/>
            <w:tcBorders>
              <w:top w:val="single" w:sz="4" w:space="0" w:color="auto"/>
              <w:left w:val="single" w:sz="4" w:space="0" w:color="auto"/>
              <w:bottom w:val="single" w:sz="4" w:space="0" w:color="auto"/>
              <w:right w:val="single" w:sz="4" w:space="0" w:color="auto"/>
            </w:tcBorders>
            <w:shd w:val="clear" w:color="auto" w:fill="auto"/>
          </w:tcPr>
          <w:p w14:paraId="6B5526AD" w14:textId="77777777" w:rsidR="009F519F" w:rsidRPr="004B5FCB" w:rsidRDefault="009F519F" w:rsidP="004811C2">
            <w:pPr>
              <w:rPr>
                <w:b/>
                <w:bCs/>
              </w:rPr>
            </w:pPr>
            <w:r w:rsidRPr="004B5FCB">
              <w:rPr>
                <w:b/>
                <w:bCs/>
              </w:rPr>
              <w:t>Wards significantly affected</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3CB9A446" w14:textId="77777777" w:rsidR="009F519F" w:rsidRPr="004B5FCB" w:rsidRDefault="009F519F" w:rsidP="004811C2">
            <w:r>
              <w:t>None</w:t>
            </w:r>
          </w:p>
        </w:tc>
      </w:tr>
    </w:tbl>
    <w:p w14:paraId="622CE5E9" w14:textId="77777777" w:rsidR="009F519F" w:rsidRDefault="009F519F">
      <w:pPr>
        <w:tabs>
          <w:tab w:val="clear" w:pos="426"/>
        </w:tabs>
        <w:spacing w:after="0"/>
      </w:pPr>
    </w:p>
    <w:p w14:paraId="5A6839AB" w14:textId="77777777" w:rsidR="009F519F" w:rsidRDefault="009F519F">
      <w:pPr>
        <w:tabs>
          <w:tab w:val="clear" w:pos="426"/>
        </w:tabs>
        <w:spacing w:after="0"/>
      </w:pPr>
    </w:p>
    <w:p w14:paraId="2302C56E" w14:textId="77777777" w:rsidR="009F519F" w:rsidRDefault="009F519F">
      <w:pPr>
        <w:tabs>
          <w:tab w:val="clear" w:pos="426"/>
        </w:tabs>
        <w:spacing w:after="0"/>
      </w:pPr>
    </w:p>
    <w:p w14:paraId="4F1B45AB" w14:textId="77777777" w:rsidR="009F519F" w:rsidRDefault="009F519F">
      <w:pPr>
        <w:tabs>
          <w:tab w:val="clear" w:pos="426"/>
        </w:tabs>
        <w:spacing w:after="0"/>
      </w:pPr>
    </w:p>
    <w:p w14:paraId="010AC643" w14:textId="77777777" w:rsidR="009F519F" w:rsidRDefault="009F519F">
      <w:pPr>
        <w:tabs>
          <w:tab w:val="clear" w:pos="426"/>
        </w:tabs>
        <w:spacing w:after="0"/>
      </w:pPr>
    </w:p>
    <w:p w14:paraId="62E21E16" w14:textId="77777777" w:rsidR="00B365E3" w:rsidRPr="00422D69" w:rsidRDefault="00B365E3" w:rsidP="007149B6">
      <w:pPr>
        <w:rPr>
          <w:b/>
        </w:rPr>
      </w:pPr>
      <w:r w:rsidRPr="00422D69">
        <w:rPr>
          <w:b/>
        </w:rPr>
        <w:t>Financial issues</w:t>
      </w:r>
    </w:p>
    <w:p w14:paraId="17A92682" w14:textId="77777777" w:rsidR="00B365E3" w:rsidRDefault="00AD1DCC" w:rsidP="00993F51">
      <w:pPr>
        <w:pStyle w:val="ListParagraph"/>
        <w:ind w:left="426" w:hanging="426"/>
      </w:pPr>
      <w:r>
        <w:t xml:space="preserve">There are no financial issues arising </w:t>
      </w:r>
      <w:r w:rsidR="00505CF6">
        <w:t xml:space="preserve">directly </w:t>
      </w:r>
      <w:r>
        <w:t>from this report.</w:t>
      </w:r>
    </w:p>
    <w:p w14:paraId="4F370E03" w14:textId="77777777" w:rsidR="00B365E3" w:rsidRDefault="00B365E3" w:rsidP="00D35A7A">
      <w:pPr>
        <w:pStyle w:val="Heading1"/>
      </w:pPr>
      <w:r>
        <w:t>Legal issues</w:t>
      </w:r>
    </w:p>
    <w:p w14:paraId="0E215931" w14:textId="2FCE989A" w:rsidR="00954F81" w:rsidRDefault="00954F81" w:rsidP="00A55383">
      <w:pPr>
        <w:pStyle w:val="ListParagraph"/>
        <w:spacing w:after="0"/>
        <w:jc w:val="both"/>
      </w:pPr>
      <w:r>
        <w:t xml:space="preserve">Regulation 19 of </w:t>
      </w:r>
      <w:r w:rsidRPr="00954F81">
        <w:t>The Local Authorities (Executive Arrangements) (Meetings and Access to Information) (England) Regulations 2012</w:t>
      </w:r>
      <w:r>
        <w:t xml:space="preserve"> requires that the executive </w:t>
      </w:r>
      <w:r w:rsidR="005B0E35">
        <w:t>L</w:t>
      </w:r>
      <w:r>
        <w:t xml:space="preserve">eader submits a report to the authority at least annually on executive decisions taken </w:t>
      </w:r>
      <w:r w:rsidR="00422D69">
        <w:t>in cases of special urgency</w:t>
      </w:r>
      <w:r>
        <w:t xml:space="preserve"> (Regulation 11), including the particulars of each decision. </w:t>
      </w:r>
    </w:p>
    <w:p w14:paraId="306766F2" w14:textId="77777777" w:rsidR="00954F81" w:rsidRDefault="00954F81" w:rsidP="00954F81">
      <w:pPr>
        <w:spacing w:after="0"/>
      </w:pPr>
    </w:p>
    <w:p w14:paraId="09E529F5" w14:textId="77777777" w:rsidR="00954F81" w:rsidRPr="001356F1" w:rsidRDefault="00954F81" w:rsidP="00954F81">
      <w:pPr>
        <w:spacing w:after="0"/>
      </w:pPr>
    </w:p>
    <w:tbl>
      <w:tblPr>
        <w:tblW w:w="0" w:type="auto"/>
        <w:tblInd w:w="108" w:type="dxa"/>
        <w:tblBorders>
          <w:top w:val="single" w:sz="4" w:space="0" w:color="C0504D"/>
          <w:left w:val="single" w:sz="4" w:space="0" w:color="C0504D"/>
          <w:bottom w:val="single" w:sz="4" w:space="0" w:color="C0504D"/>
          <w:right w:val="single" w:sz="4" w:space="0" w:color="C0504D"/>
        </w:tblBorders>
        <w:tblLook w:val="04A0" w:firstRow="1" w:lastRow="0" w:firstColumn="1" w:lastColumn="0" w:noHBand="0" w:noVBand="1"/>
      </w:tblPr>
      <w:tblGrid>
        <w:gridCol w:w="3969"/>
        <w:gridCol w:w="4962"/>
      </w:tblGrid>
      <w:tr w:rsidR="00B12E70" w:rsidRPr="001356F1" w14:paraId="5EC15980" w14:textId="77777777" w:rsidTr="0024047D">
        <w:trPr>
          <w:cantSplit/>
          <w:trHeight w:val="396"/>
        </w:trPr>
        <w:tc>
          <w:tcPr>
            <w:tcW w:w="3969" w:type="dxa"/>
            <w:tcBorders>
              <w:top w:val="single" w:sz="8" w:space="0" w:color="000000"/>
              <w:left w:val="single" w:sz="8" w:space="0" w:color="000000"/>
              <w:bottom w:val="single" w:sz="8" w:space="0" w:color="000000"/>
              <w:right w:val="nil"/>
            </w:tcBorders>
            <w:shd w:val="clear" w:color="auto" w:fill="auto"/>
          </w:tcPr>
          <w:p w14:paraId="37875FE4" w14:textId="77777777" w:rsidR="00B12E70" w:rsidRPr="001356F1" w:rsidRDefault="00B12E70" w:rsidP="0024047D">
            <w:pPr>
              <w:rPr>
                <w:b/>
              </w:rPr>
            </w:pPr>
            <w:r w:rsidRPr="001356F1">
              <w:rPr>
                <w:b/>
              </w:rPr>
              <w:t>Report author</w:t>
            </w:r>
          </w:p>
        </w:tc>
        <w:tc>
          <w:tcPr>
            <w:tcW w:w="4962" w:type="dxa"/>
            <w:tcBorders>
              <w:top w:val="single" w:sz="8" w:space="0" w:color="000000"/>
              <w:left w:val="nil"/>
              <w:bottom w:val="single" w:sz="8" w:space="0" w:color="000000"/>
              <w:right w:val="single" w:sz="8" w:space="0" w:color="000000"/>
            </w:tcBorders>
            <w:shd w:val="clear" w:color="auto" w:fill="auto"/>
          </w:tcPr>
          <w:p w14:paraId="5F767708" w14:textId="77777777" w:rsidR="00B12E70" w:rsidRPr="001356F1" w:rsidRDefault="00504DB3" w:rsidP="0024047D">
            <w:r>
              <w:t>Jonathan Malton</w:t>
            </w:r>
          </w:p>
        </w:tc>
      </w:tr>
      <w:tr w:rsidR="00B12E70" w:rsidRPr="001356F1" w14:paraId="54141A63" w14:textId="77777777" w:rsidTr="0024047D">
        <w:trPr>
          <w:cantSplit/>
          <w:trHeight w:val="396"/>
        </w:trPr>
        <w:tc>
          <w:tcPr>
            <w:tcW w:w="3969" w:type="dxa"/>
            <w:tcBorders>
              <w:top w:val="single" w:sz="8" w:space="0" w:color="000000"/>
              <w:left w:val="single" w:sz="8" w:space="0" w:color="000000"/>
              <w:bottom w:val="nil"/>
              <w:right w:val="nil"/>
            </w:tcBorders>
            <w:shd w:val="clear" w:color="auto" w:fill="auto"/>
          </w:tcPr>
          <w:p w14:paraId="3A937D69" w14:textId="77777777" w:rsidR="00B12E70" w:rsidRPr="001356F1" w:rsidRDefault="00B12E70" w:rsidP="0024047D">
            <w:r w:rsidRPr="001356F1">
              <w:t>Job title</w:t>
            </w:r>
          </w:p>
        </w:tc>
        <w:tc>
          <w:tcPr>
            <w:tcW w:w="4962" w:type="dxa"/>
            <w:tcBorders>
              <w:top w:val="single" w:sz="8" w:space="0" w:color="000000"/>
              <w:left w:val="nil"/>
              <w:bottom w:val="nil"/>
              <w:right w:val="single" w:sz="8" w:space="0" w:color="000000"/>
            </w:tcBorders>
            <w:shd w:val="clear" w:color="auto" w:fill="auto"/>
          </w:tcPr>
          <w:p w14:paraId="473EECED" w14:textId="77777777" w:rsidR="00B12E70" w:rsidRPr="001356F1" w:rsidRDefault="00B12E70" w:rsidP="00504DB3">
            <w:r>
              <w:t>Committee and Member Services Manager</w:t>
            </w:r>
          </w:p>
        </w:tc>
      </w:tr>
      <w:tr w:rsidR="00B12E70" w:rsidRPr="001356F1" w14:paraId="636F1E81" w14:textId="77777777" w:rsidTr="0024047D">
        <w:trPr>
          <w:cantSplit/>
          <w:trHeight w:val="396"/>
        </w:trPr>
        <w:tc>
          <w:tcPr>
            <w:tcW w:w="3969" w:type="dxa"/>
            <w:tcBorders>
              <w:top w:val="nil"/>
              <w:left w:val="single" w:sz="8" w:space="0" w:color="000000"/>
              <w:bottom w:val="nil"/>
              <w:right w:val="nil"/>
            </w:tcBorders>
            <w:shd w:val="clear" w:color="auto" w:fill="auto"/>
          </w:tcPr>
          <w:p w14:paraId="22451D16" w14:textId="77777777" w:rsidR="00B12E70" w:rsidRPr="001356F1" w:rsidRDefault="00B12E70" w:rsidP="0024047D">
            <w:r w:rsidRPr="001356F1">
              <w:t>Service area or department</w:t>
            </w:r>
          </w:p>
        </w:tc>
        <w:tc>
          <w:tcPr>
            <w:tcW w:w="4962" w:type="dxa"/>
            <w:tcBorders>
              <w:top w:val="nil"/>
              <w:left w:val="nil"/>
              <w:bottom w:val="nil"/>
              <w:right w:val="single" w:sz="8" w:space="0" w:color="000000"/>
            </w:tcBorders>
            <w:shd w:val="clear" w:color="auto" w:fill="auto"/>
          </w:tcPr>
          <w:p w14:paraId="507995A8" w14:textId="77777777" w:rsidR="00B12E70" w:rsidRPr="001356F1" w:rsidRDefault="00B12E70" w:rsidP="0024047D">
            <w:r>
              <w:t>Law and Governance</w:t>
            </w:r>
          </w:p>
        </w:tc>
      </w:tr>
      <w:tr w:rsidR="00B12E70" w:rsidRPr="001356F1" w14:paraId="5309119C" w14:textId="77777777" w:rsidTr="0024047D">
        <w:trPr>
          <w:cantSplit/>
          <w:trHeight w:val="396"/>
        </w:trPr>
        <w:tc>
          <w:tcPr>
            <w:tcW w:w="3969" w:type="dxa"/>
            <w:tcBorders>
              <w:top w:val="nil"/>
              <w:left w:val="single" w:sz="8" w:space="0" w:color="000000"/>
              <w:bottom w:val="nil"/>
              <w:right w:val="nil"/>
            </w:tcBorders>
            <w:shd w:val="clear" w:color="auto" w:fill="auto"/>
          </w:tcPr>
          <w:p w14:paraId="38F217DA" w14:textId="77777777" w:rsidR="00B12E70" w:rsidRPr="001356F1" w:rsidRDefault="00B12E70" w:rsidP="0024047D">
            <w:r w:rsidRPr="001356F1">
              <w:t xml:space="preserve">Telephone </w:t>
            </w:r>
          </w:p>
        </w:tc>
        <w:tc>
          <w:tcPr>
            <w:tcW w:w="4962" w:type="dxa"/>
            <w:tcBorders>
              <w:top w:val="nil"/>
              <w:left w:val="nil"/>
              <w:bottom w:val="nil"/>
              <w:right w:val="single" w:sz="8" w:space="0" w:color="000000"/>
            </w:tcBorders>
            <w:shd w:val="clear" w:color="auto" w:fill="auto"/>
          </w:tcPr>
          <w:p w14:paraId="3A89C9A2" w14:textId="12A80746" w:rsidR="00B12E70" w:rsidRPr="001356F1" w:rsidRDefault="00504DB3" w:rsidP="00757939">
            <w:r w:rsidRPr="00504DB3">
              <w:t xml:space="preserve">01865 </w:t>
            </w:r>
            <w:r w:rsidR="007149B6">
              <w:t>602767</w:t>
            </w:r>
          </w:p>
        </w:tc>
      </w:tr>
      <w:tr w:rsidR="00B12E70" w:rsidRPr="001356F1" w14:paraId="03CC49B8" w14:textId="77777777" w:rsidTr="0024047D">
        <w:trPr>
          <w:cantSplit/>
          <w:trHeight w:val="396"/>
        </w:trPr>
        <w:tc>
          <w:tcPr>
            <w:tcW w:w="3969" w:type="dxa"/>
            <w:tcBorders>
              <w:top w:val="nil"/>
              <w:left w:val="single" w:sz="8" w:space="0" w:color="000000"/>
              <w:bottom w:val="single" w:sz="8" w:space="0" w:color="000000"/>
              <w:right w:val="nil"/>
            </w:tcBorders>
            <w:shd w:val="clear" w:color="auto" w:fill="auto"/>
          </w:tcPr>
          <w:p w14:paraId="1DF56BA2" w14:textId="77777777" w:rsidR="00B12E70" w:rsidRPr="001356F1" w:rsidRDefault="00B12E70" w:rsidP="0024047D">
            <w:r w:rsidRPr="001356F1">
              <w:t xml:space="preserve">e-mail </w:t>
            </w:r>
          </w:p>
        </w:tc>
        <w:tc>
          <w:tcPr>
            <w:tcW w:w="4962" w:type="dxa"/>
            <w:tcBorders>
              <w:top w:val="nil"/>
              <w:left w:val="nil"/>
              <w:bottom w:val="single" w:sz="8" w:space="0" w:color="000000"/>
              <w:right w:val="single" w:sz="8" w:space="0" w:color="000000"/>
            </w:tcBorders>
            <w:shd w:val="clear" w:color="auto" w:fill="auto"/>
          </w:tcPr>
          <w:p w14:paraId="6B2EF725" w14:textId="77777777" w:rsidR="00B12E70" w:rsidRPr="001356F1" w:rsidRDefault="00000000" w:rsidP="00504DB3">
            <w:pPr>
              <w:rPr>
                <w:rStyle w:val="Hyperlink"/>
                <w:color w:val="000000"/>
              </w:rPr>
            </w:pPr>
            <w:hyperlink r:id="rId10" w:history="1">
              <w:r w:rsidR="00504DB3" w:rsidRPr="000D602A">
                <w:rPr>
                  <w:rStyle w:val="Hyperlink"/>
                </w:rPr>
                <w:t>jmalton@oxford.gov.uk</w:t>
              </w:r>
            </w:hyperlink>
            <w:r w:rsidR="00757939">
              <w:rPr>
                <w:rStyle w:val="Hyperlink"/>
                <w:color w:val="000000"/>
              </w:rPr>
              <w:t xml:space="preserve"> </w:t>
            </w:r>
          </w:p>
        </w:tc>
      </w:tr>
    </w:tbl>
    <w:p w14:paraId="4F34D44F" w14:textId="77777777" w:rsidR="00CB2FF8" w:rsidRDefault="00CB2FF8" w:rsidP="00CB2FF8">
      <w:pPr>
        <w:spacing w:after="0"/>
        <w:rPr>
          <w:rStyle w:val="Firstpagetablebold"/>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CB2FF8" w:rsidRPr="001356F1" w14:paraId="7D935D22" w14:textId="77777777" w:rsidTr="00B01B1E">
        <w:tc>
          <w:tcPr>
            <w:tcW w:w="8931" w:type="dxa"/>
            <w:tcBorders>
              <w:top w:val="single" w:sz="4" w:space="0" w:color="auto"/>
              <w:left w:val="single" w:sz="4" w:space="0" w:color="auto"/>
              <w:bottom w:val="single" w:sz="8" w:space="0" w:color="000000"/>
              <w:right w:val="single" w:sz="4" w:space="0" w:color="auto"/>
            </w:tcBorders>
            <w:shd w:val="clear" w:color="auto" w:fill="auto"/>
          </w:tcPr>
          <w:p w14:paraId="38C1CAF1" w14:textId="77777777" w:rsidR="00CB2FF8" w:rsidRPr="001356F1" w:rsidRDefault="00CB2FF8" w:rsidP="00B01B1E">
            <w:r w:rsidRPr="001356F1">
              <w:rPr>
                <w:rStyle w:val="Firstpagetablebold"/>
              </w:rPr>
              <w:t>Background Papers: None</w:t>
            </w:r>
          </w:p>
        </w:tc>
      </w:tr>
    </w:tbl>
    <w:p w14:paraId="1968DC89" w14:textId="77777777" w:rsidR="00CB2FF8" w:rsidRDefault="00CB2FF8" w:rsidP="00CB2FF8">
      <w:pPr>
        <w:spacing w:before="240" w:after="0"/>
        <w:rPr>
          <w:lang w:eastAsia="en-GB"/>
        </w:rPr>
      </w:pPr>
    </w:p>
    <w:sectPr w:rsidR="00CB2FF8" w:rsidSect="00D35A7A">
      <w:pgSz w:w="11907" w:h="16840" w:code="9"/>
      <w:pgMar w:top="1304" w:right="1304" w:bottom="1304" w:left="1304"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20285" w14:textId="77777777" w:rsidR="00F84035" w:rsidRDefault="00F84035" w:rsidP="00BB4116">
      <w:r>
        <w:separator/>
      </w:r>
    </w:p>
    <w:p w14:paraId="2BA754C0" w14:textId="77777777" w:rsidR="00F84035" w:rsidRDefault="00F84035" w:rsidP="00BB4116"/>
  </w:endnote>
  <w:endnote w:type="continuationSeparator" w:id="0">
    <w:p w14:paraId="209A9C8A" w14:textId="77777777" w:rsidR="00F84035" w:rsidRDefault="00F84035" w:rsidP="00BB4116">
      <w:r>
        <w:continuationSeparator/>
      </w:r>
    </w:p>
    <w:p w14:paraId="66742B81" w14:textId="77777777" w:rsidR="00F84035" w:rsidRDefault="00F84035" w:rsidP="00BB41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2D8B5" w14:textId="77777777" w:rsidR="00F84035" w:rsidRDefault="00F84035" w:rsidP="00BB4116">
      <w:r>
        <w:separator/>
      </w:r>
    </w:p>
    <w:p w14:paraId="37C09A6E" w14:textId="77777777" w:rsidR="00F84035" w:rsidRDefault="00F84035" w:rsidP="00BB4116"/>
  </w:footnote>
  <w:footnote w:type="continuationSeparator" w:id="0">
    <w:p w14:paraId="2C1A63A1" w14:textId="77777777" w:rsidR="00F84035" w:rsidRDefault="00F84035" w:rsidP="00BB4116">
      <w:r>
        <w:continuationSeparator/>
      </w:r>
    </w:p>
    <w:p w14:paraId="0B6CF23B" w14:textId="77777777" w:rsidR="00F84035" w:rsidRDefault="00F84035" w:rsidP="00BB411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numFmt w:val="bullet"/>
      <w:lvlText w:val=""/>
      <w:lvlJc w:val="left"/>
      <w:pPr>
        <w:ind w:left="1039" w:hanging="425"/>
      </w:pPr>
      <w:rPr>
        <w:rFonts w:ascii="Symbol" w:hAnsi="Symbol" w:cs="Symbol"/>
        <w:b w:val="0"/>
        <w:bCs w:val="0"/>
        <w:w w:val="100"/>
        <w:sz w:val="24"/>
        <w:szCs w:val="24"/>
      </w:rPr>
    </w:lvl>
    <w:lvl w:ilvl="1">
      <w:numFmt w:val="bullet"/>
      <w:lvlText w:val="•"/>
      <w:lvlJc w:val="left"/>
      <w:pPr>
        <w:ind w:left="1834" w:hanging="425"/>
      </w:pPr>
    </w:lvl>
    <w:lvl w:ilvl="2">
      <w:numFmt w:val="bullet"/>
      <w:lvlText w:val="•"/>
      <w:lvlJc w:val="left"/>
      <w:pPr>
        <w:ind w:left="2629" w:hanging="425"/>
      </w:pPr>
    </w:lvl>
    <w:lvl w:ilvl="3">
      <w:numFmt w:val="bullet"/>
      <w:lvlText w:val="•"/>
      <w:lvlJc w:val="left"/>
      <w:pPr>
        <w:ind w:left="3423" w:hanging="425"/>
      </w:pPr>
    </w:lvl>
    <w:lvl w:ilvl="4">
      <w:numFmt w:val="bullet"/>
      <w:lvlText w:val="•"/>
      <w:lvlJc w:val="left"/>
      <w:pPr>
        <w:ind w:left="4218" w:hanging="425"/>
      </w:pPr>
    </w:lvl>
    <w:lvl w:ilvl="5">
      <w:numFmt w:val="bullet"/>
      <w:lvlText w:val="•"/>
      <w:lvlJc w:val="left"/>
      <w:pPr>
        <w:ind w:left="5013" w:hanging="425"/>
      </w:pPr>
    </w:lvl>
    <w:lvl w:ilvl="6">
      <w:numFmt w:val="bullet"/>
      <w:lvlText w:val="•"/>
      <w:lvlJc w:val="left"/>
      <w:pPr>
        <w:ind w:left="5807" w:hanging="425"/>
      </w:pPr>
    </w:lvl>
    <w:lvl w:ilvl="7">
      <w:numFmt w:val="bullet"/>
      <w:lvlText w:val="•"/>
      <w:lvlJc w:val="left"/>
      <w:pPr>
        <w:ind w:left="6602" w:hanging="425"/>
      </w:pPr>
    </w:lvl>
    <w:lvl w:ilvl="8">
      <w:numFmt w:val="bullet"/>
      <w:lvlText w:val="•"/>
      <w:lvlJc w:val="left"/>
      <w:pPr>
        <w:ind w:left="7397" w:hanging="425"/>
      </w:pPr>
    </w:lvl>
  </w:abstractNum>
  <w:abstractNum w:abstractNumId="1" w15:restartNumberingAfterBreak="0">
    <w:nsid w:val="00000403"/>
    <w:multiLevelType w:val="multilevel"/>
    <w:tmpl w:val="FFFFFFFF"/>
    <w:lvl w:ilvl="0">
      <w:start w:val="2"/>
      <w:numFmt w:val="lowerLetter"/>
      <w:lvlText w:val="(%1)"/>
      <w:lvlJc w:val="left"/>
      <w:pPr>
        <w:ind w:left="617" w:hanging="428"/>
      </w:pPr>
      <w:rPr>
        <w:rFonts w:ascii="Arial" w:hAnsi="Arial" w:cs="Arial"/>
        <w:b w:val="0"/>
        <w:bCs w:val="0"/>
        <w:w w:val="99"/>
        <w:sz w:val="24"/>
        <w:szCs w:val="24"/>
      </w:rPr>
    </w:lvl>
    <w:lvl w:ilvl="1">
      <w:numFmt w:val="bullet"/>
      <w:lvlText w:val="•"/>
      <w:lvlJc w:val="left"/>
      <w:pPr>
        <w:ind w:left="1456" w:hanging="428"/>
      </w:pPr>
    </w:lvl>
    <w:lvl w:ilvl="2">
      <w:numFmt w:val="bullet"/>
      <w:lvlText w:val="•"/>
      <w:lvlJc w:val="left"/>
      <w:pPr>
        <w:ind w:left="2293" w:hanging="428"/>
      </w:pPr>
    </w:lvl>
    <w:lvl w:ilvl="3">
      <w:numFmt w:val="bullet"/>
      <w:lvlText w:val="•"/>
      <w:lvlJc w:val="left"/>
      <w:pPr>
        <w:ind w:left="3129" w:hanging="428"/>
      </w:pPr>
    </w:lvl>
    <w:lvl w:ilvl="4">
      <w:numFmt w:val="bullet"/>
      <w:lvlText w:val="•"/>
      <w:lvlJc w:val="left"/>
      <w:pPr>
        <w:ind w:left="3966" w:hanging="428"/>
      </w:pPr>
    </w:lvl>
    <w:lvl w:ilvl="5">
      <w:numFmt w:val="bullet"/>
      <w:lvlText w:val="•"/>
      <w:lvlJc w:val="left"/>
      <w:pPr>
        <w:ind w:left="4803" w:hanging="428"/>
      </w:pPr>
    </w:lvl>
    <w:lvl w:ilvl="6">
      <w:numFmt w:val="bullet"/>
      <w:lvlText w:val="•"/>
      <w:lvlJc w:val="left"/>
      <w:pPr>
        <w:ind w:left="5639" w:hanging="428"/>
      </w:pPr>
    </w:lvl>
    <w:lvl w:ilvl="7">
      <w:numFmt w:val="bullet"/>
      <w:lvlText w:val="•"/>
      <w:lvlJc w:val="left"/>
      <w:pPr>
        <w:ind w:left="6476" w:hanging="428"/>
      </w:pPr>
    </w:lvl>
    <w:lvl w:ilvl="8">
      <w:numFmt w:val="bullet"/>
      <w:lvlText w:val="•"/>
      <w:lvlJc w:val="left"/>
      <w:pPr>
        <w:ind w:left="7313" w:hanging="428"/>
      </w:pPr>
    </w:lvl>
  </w:abstractNum>
  <w:abstractNum w:abstractNumId="2" w15:restartNumberingAfterBreak="0">
    <w:nsid w:val="034E72F8"/>
    <w:multiLevelType w:val="hybridMultilevel"/>
    <w:tmpl w:val="CEA8AB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38C30BB"/>
    <w:multiLevelType w:val="multilevel"/>
    <w:tmpl w:val="E67CE66C"/>
    <w:styleLink w:val="StyleNumberedLeft0cmHanging075cm"/>
    <w:lvl w:ilvl="0">
      <w:start w:val="1"/>
      <w:numFmt w:val="decimal"/>
      <w:lvlText w:val="%1."/>
      <w:lvlJc w:val="left"/>
      <w:pPr>
        <w:ind w:left="360" w:hanging="360"/>
      </w:pPr>
      <w:rPr>
        <w:rFonts w:ascii="Arial" w:hAnsi="Arial"/>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A5A4737"/>
    <w:multiLevelType w:val="hybridMultilevel"/>
    <w:tmpl w:val="25687A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4566CF5"/>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524390B"/>
    <w:multiLevelType w:val="hybridMultilevel"/>
    <w:tmpl w:val="57A6D3A2"/>
    <w:lvl w:ilvl="0" w:tplc="7B8407C6">
      <w:start w:val="1"/>
      <w:numFmt w:val="decimal"/>
      <w:pStyle w:val="ListParagraph"/>
      <w:lvlText w:val="%1."/>
      <w:lvlJc w:val="left"/>
      <w:pPr>
        <w:ind w:left="360" w:hanging="360"/>
      </w:pPr>
      <w:rPr>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9ED445F"/>
    <w:multiLevelType w:val="hybridMultilevel"/>
    <w:tmpl w:val="D0B2D78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CBD2E8B"/>
    <w:multiLevelType w:val="hybridMultilevel"/>
    <w:tmpl w:val="0E1C9B96"/>
    <w:lvl w:ilvl="0" w:tplc="69A082BC">
      <w:numFmt w:val="bullet"/>
      <w:lvlText w:val="·"/>
      <w:lvlJc w:val="left"/>
      <w:pPr>
        <w:ind w:left="900" w:hanging="54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F6267D"/>
    <w:multiLevelType w:val="hybridMultilevel"/>
    <w:tmpl w:val="79E82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26373E"/>
    <w:multiLevelType w:val="hybridMultilevel"/>
    <w:tmpl w:val="0AC0AB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C94A5F"/>
    <w:multiLevelType w:val="hybridMultilevel"/>
    <w:tmpl w:val="B6882EFE"/>
    <w:lvl w:ilvl="0" w:tplc="08090001">
      <w:start w:val="1"/>
      <w:numFmt w:val="bullet"/>
      <w:lvlText w:val=""/>
      <w:lvlJc w:val="left"/>
      <w:pPr>
        <w:ind w:left="540" w:hanging="54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80A09F3"/>
    <w:multiLevelType w:val="hybridMultilevel"/>
    <w:tmpl w:val="E162F7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BB51287"/>
    <w:multiLevelType w:val="hybridMultilevel"/>
    <w:tmpl w:val="168E9F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0E22C9"/>
    <w:multiLevelType w:val="hybridMultilevel"/>
    <w:tmpl w:val="5A9C8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495958"/>
    <w:multiLevelType w:val="hybridMultilevel"/>
    <w:tmpl w:val="A75E2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CE4A1C"/>
    <w:multiLevelType w:val="hybridMultilevel"/>
    <w:tmpl w:val="065EBAC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8813EB5"/>
    <w:multiLevelType w:val="hybridMultilevel"/>
    <w:tmpl w:val="E974A6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A002398"/>
    <w:multiLevelType w:val="hybridMultilevel"/>
    <w:tmpl w:val="4156F4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36538421">
    <w:abstractNumId w:val="3"/>
  </w:num>
  <w:num w:numId="2" w16cid:durableId="1382285419">
    <w:abstractNumId w:val="6"/>
  </w:num>
  <w:num w:numId="3" w16cid:durableId="468479895">
    <w:abstractNumId w:val="16"/>
  </w:num>
  <w:num w:numId="4" w16cid:durableId="2053771405">
    <w:abstractNumId w:val="2"/>
  </w:num>
  <w:num w:numId="5" w16cid:durableId="1633174942">
    <w:abstractNumId w:val="12"/>
  </w:num>
  <w:num w:numId="6" w16cid:durableId="815145130">
    <w:abstractNumId w:val="10"/>
  </w:num>
  <w:num w:numId="7" w16cid:durableId="1978023511">
    <w:abstractNumId w:val="18"/>
  </w:num>
  <w:num w:numId="8" w16cid:durableId="201017900">
    <w:abstractNumId w:val="14"/>
  </w:num>
  <w:num w:numId="9" w16cid:durableId="2085641356">
    <w:abstractNumId w:val="8"/>
  </w:num>
  <w:num w:numId="10" w16cid:durableId="1739744581">
    <w:abstractNumId w:val="11"/>
  </w:num>
  <w:num w:numId="11" w16cid:durableId="254285724">
    <w:abstractNumId w:val="17"/>
  </w:num>
  <w:num w:numId="12" w16cid:durableId="1827891480">
    <w:abstractNumId w:val="7"/>
  </w:num>
  <w:num w:numId="13" w16cid:durableId="1626765049">
    <w:abstractNumId w:val="4"/>
  </w:num>
  <w:num w:numId="14" w16cid:durableId="2061173571">
    <w:abstractNumId w:val="13"/>
  </w:num>
  <w:num w:numId="15" w16cid:durableId="1216162968">
    <w:abstractNumId w:val="9"/>
  </w:num>
  <w:num w:numId="16" w16cid:durableId="1398437589">
    <w:abstractNumId w:val="5"/>
  </w:num>
  <w:num w:numId="17" w16cid:durableId="1035886569">
    <w:abstractNumId w:val="1"/>
  </w:num>
  <w:num w:numId="18" w16cid:durableId="1141001322">
    <w:abstractNumId w:val="0"/>
  </w:num>
  <w:num w:numId="19" w16cid:durableId="244656092">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2"/>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426"/>
    <w:rsid w:val="00013E4A"/>
    <w:rsid w:val="000551DA"/>
    <w:rsid w:val="00056F01"/>
    <w:rsid w:val="00082724"/>
    <w:rsid w:val="000B1172"/>
    <w:rsid w:val="000C3011"/>
    <w:rsid w:val="000D7BCD"/>
    <w:rsid w:val="000E7DA1"/>
    <w:rsid w:val="00107AA6"/>
    <w:rsid w:val="0011519F"/>
    <w:rsid w:val="00122C83"/>
    <w:rsid w:val="00126867"/>
    <w:rsid w:val="00160FAB"/>
    <w:rsid w:val="00180C5D"/>
    <w:rsid w:val="001B5FDC"/>
    <w:rsid w:val="001D1097"/>
    <w:rsid w:val="001D6A27"/>
    <w:rsid w:val="001E130C"/>
    <w:rsid w:val="00240FCB"/>
    <w:rsid w:val="002615B5"/>
    <w:rsid w:val="0026383C"/>
    <w:rsid w:val="00284198"/>
    <w:rsid w:val="00286CF6"/>
    <w:rsid w:val="002B3296"/>
    <w:rsid w:val="002E3B5C"/>
    <w:rsid w:val="00310A58"/>
    <w:rsid w:val="0034201F"/>
    <w:rsid w:val="00347BAC"/>
    <w:rsid w:val="00347C6E"/>
    <w:rsid w:val="00371BAC"/>
    <w:rsid w:val="003851C9"/>
    <w:rsid w:val="003A0088"/>
    <w:rsid w:val="003C531A"/>
    <w:rsid w:val="003D56D2"/>
    <w:rsid w:val="003E0043"/>
    <w:rsid w:val="003F00F0"/>
    <w:rsid w:val="00400232"/>
    <w:rsid w:val="00422D69"/>
    <w:rsid w:val="0043307F"/>
    <w:rsid w:val="00495769"/>
    <w:rsid w:val="004A454C"/>
    <w:rsid w:val="004B32E1"/>
    <w:rsid w:val="004B5FCB"/>
    <w:rsid w:val="004C2AAE"/>
    <w:rsid w:val="004C2CFE"/>
    <w:rsid w:val="004D29FE"/>
    <w:rsid w:val="004E16D1"/>
    <w:rsid w:val="004E7C6B"/>
    <w:rsid w:val="00501AB0"/>
    <w:rsid w:val="005043A3"/>
    <w:rsid w:val="00504DB3"/>
    <w:rsid w:val="00505CF6"/>
    <w:rsid w:val="00510CC7"/>
    <w:rsid w:val="00543E40"/>
    <w:rsid w:val="00560426"/>
    <w:rsid w:val="00563313"/>
    <w:rsid w:val="005B0E35"/>
    <w:rsid w:val="005B7587"/>
    <w:rsid w:val="005C1B66"/>
    <w:rsid w:val="005C32A2"/>
    <w:rsid w:val="005D496A"/>
    <w:rsid w:val="00601D5A"/>
    <w:rsid w:val="0061040F"/>
    <w:rsid w:val="0061132E"/>
    <w:rsid w:val="00612520"/>
    <w:rsid w:val="006140A4"/>
    <w:rsid w:val="0061723A"/>
    <w:rsid w:val="00647DFC"/>
    <w:rsid w:val="00660A3B"/>
    <w:rsid w:val="00663FB4"/>
    <w:rsid w:val="0068261E"/>
    <w:rsid w:val="00684B85"/>
    <w:rsid w:val="00687EF3"/>
    <w:rsid w:val="006A1AAE"/>
    <w:rsid w:val="006B7E29"/>
    <w:rsid w:val="006C70BA"/>
    <w:rsid w:val="006E23EA"/>
    <w:rsid w:val="00713694"/>
    <w:rsid w:val="007149B6"/>
    <w:rsid w:val="0072252E"/>
    <w:rsid w:val="00737736"/>
    <w:rsid w:val="00757939"/>
    <w:rsid w:val="0076343A"/>
    <w:rsid w:val="007869C8"/>
    <w:rsid w:val="007B493A"/>
    <w:rsid w:val="007C397B"/>
    <w:rsid w:val="007C49FA"/>
    <w:rsid w:val="007D79E8"/>
    <w:rsid w:val="007F17FA"/>
    <w:rsid w:val="00802404"/>
    <w:rsid w:val="00811BC4"/>
    <w:rsid w:val="00821101"/>
    <w:rsid w:val="0087200A"/>
    <w:rsid w:val="008A2750"/>
    <w:rsid w:val="008C3FF7"/>
    <w:rsid w:val="008F3E9E"/>
    <w:rsid w:val="00914156"/>
    <w:rsid w:val="0092171D"/>
    <w:rsid w:val="00926FFC"/>
    <w:rsid w:val="00931E27"/>
    <w:rsid w:val="009327DF"/>
    <w:rsid w:val="00946D9A"/>
    <w:rsid w:val="00951115"/>
    <w:rsid w:val="00954F81"/>
    <w:rsid w:val="00962AAE"/>
    <w:rsid w:val="00985E56"/>
    <w:rsid w:val="0099330A"/>
    <w:rsid w:val="00993F51"/>
    <w:rsid w:val="009B76B7"/>
    <w:rsid w:val="009C0464"/>
    <w:rsid w:val="009C1953"/>
    <w:rsid w:val="009C4B3B"/>
    <w:rsid w:val="009F519F"/>
    <w:rsid w:val="00A13A9E"/>
    <w:rsid w:val="00A21C38"/>
    <w:rsid w:val="00A240B6"/>
    <w:rsid w:val="00A310CC"/>
    <w:rsid w:val="00A31EFD"/>
    <w:rsid w:val="00A439C8"/>
    <w:rsid w:val="00A55383"/>
    <w:rsid w:val="00A608BE"/>
    <w:rsid w:val="00A87AFF"/>
    <w:rsid w:val="00AA1770"/>
    <w:rsid w:val="00AB5686"/>
    <w:rsid w:val="00AB6DD5"/>
    <w:rsid w:val="00AC22F7"/>
    <w:rsid w:val="00AD19D7"/>
    <w:rsid w:val="00AD1DCC"/>
    <w:rsid w:val="00AD66DD"/>
    <w:rsid w:val="00B120EC"/>
    <w:rsid w:val="00B12E70"/>
    <w:rsid w:val="00B17F13"/>
    <w:rsid w:val="00B30803"/>
    <w:rsid w:val="00B32734"/>
    <w:rsid w:val="00B365E3"/>
    <w:rsid w:val="00B431BE"/>
    <w:rsid w:val="00B44187"/>
    <w:rsid w:val="00B51E4C"/>
    <w:rsid w:val="00B946D4"/>
    <w:rsid w:val="00BB4116"/>
    <w:rsid w:val="00BB5A0C"/>
    <w:rsid w:val="00BC0170"/>
    <w:rsid w:val="00BC313A"/>
    <w:rsid w:val="00BC4998"/>
    <w:rsid w:val="00BE11BE"/>
    <w:rsid w:val="00C00BBC"/>
    <w:rsid w:val="00C1481D"/>
    <w:rsid w:val="00C268EB"/>
    <w:rsid w:val="00C3663C"/>
    <w:rsid w:val="00C41058"/>
    <w:rsid w:val="00C42CB0"/>
    <w:rsid w:val="00C4547A"/>
    <w:rsid w:val="00C47A65"/>
    <w:rsid w:val="00CB1D9E"/>
    <w:rsid w:val="00CB2FF8"/>
    <w:rsid w:val="00CC2D82"/>
    <w:rsid w:val="00CD377E"/>
    <w:rsid w:val="00CD5730"/>
    <w:rsid w:val="00CF05DA"/>
    <w:rsid w:val="00D046B3"/>
    <w:rsid w:val="00D23270"/>
    <w:rsid w:val="00D3048C"/>
    <w:rsid w:val="00D35A7A"/>
    <w:rsid w:val="00D94D00"/>
    <w:rsid w:val="00DB42E2"/>
    <w:rsid w:val="00DB59F5"/>
    <w:rsid w:val="00DB7CAB"/>
    <w:rsid w:val="00DC3AE8"/>
    <w:rsid w:val="00DC3B68"/>
    <w:rsid w:val="00DF4A58"/>
    <w:rsid w:val="00E03584"/>
    <w:rsid w:val="00E23EAF"/>
    <w:rsid w:val="00E348EB"/>
    <w:rsid w:val="00E62B7B"/>
    <w:rsid w:val="00E71C65"/>
    <w:rsid w:val="00EA6503"/>
    <w:rsid w:val="00EB00FB"/>
    <w:rsid w:val="00ED0FD4"/>
    <w:rsid w:val="00EF4BF4"/>
    <w:rsid w:val="00F1673D"/>
    <w:rsid w:val="00F519C0"/>
    <w:rsid w:val="00F54F11"/>
    <w:rsid w:val="00F74AEA"/>
    <w:rsid w:val="00F84035"/>
    <w:rsid w:val="00F84561"/>
    <w:rsid w:val="00F94AFA"/>
    <w:rsid w:val="00FB25C6"/>
    <w:rsid w:val="00FC74B3"/>
    <w:rsid w:val="00FE3CD2"/>
    <w:rsid w:val="00FF02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8F4DAB"/>
  <w15:chartTrackingRefBased/>
  <w15:docId w15:val="{4B4E074A-310F-4DDB-8875-3D7E7B84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116"/>
    <w:pPr>
      <w:tabs>
        <w:tab w:val="left" w:pos="426"/>
      </w:tabs>
      <w:spacing w:after="120"/>
    </w:pPr>
    <w:rPr>
      <w:rFonts w:ascii="Arial" w:hAnsi="Arial"/>
      <w:sz w:val="24"/>
      <w:lang w:eastAsia="en-US"/>
    </w:rPr>
  </w:style>
  <w:style w:type="paragraph" w:styleId="Heading1">
    <w:name w:val="heading 1"/>
    <w:basedOn w:val="Normal"/>
    <w:next w:val="Normal"/>
    <w:qFormat/>
    <w:rsid w:val="00BB4116"/>
    <w:pPr>
      <w:spacing w:before="100" w:beforeAutospacing="1" w:after="100" w:afterAutospacing="1"/>
      <w:outlineLvl w:val="0"/>
    </w:pPr>
    <w:rPr>
      <w:rFonts w:eastAsia="Arial Unicode MS" w:cs="Arial"/>
      <w:b/>
      <w:szCs w:val="22"/>
    </w:rPr>
  </w:style>
  <w:style w:type="paragraph" w:styleId="Heading2">
    <w:name w:val="heading 2"/>
    <w:basedOn w:val="Normal"/>
    <w:next w:val="Normal"/>
    <w:qFormat/>
    <w:pPr>
      <w:keepNext/>
      <w:jc w:val="center"/>
      <w:outlineLvl w:val="1"/>
    </w:pPr>
    <w:rPr>
      <w:rFonts w:eastAsia="Arial Unicode MS"/>
      <w:b/>
    </w:rPr>
  </w:style>
  <w:style w:type="paragraph" w:styleId="Heading3">
    <w:name w:val="heading 3"/>
    <w:basedOn w:val="Normal"/>
    <w:next w:val="Normal"/>
    <w:qFormat/>
    <w:pPr>
      <w:keepNext/>
      <w:tabs>
        <w:tab w:val="left" w:pos="-720"/>
        <w:tab w:val="left" w:pos="720"/>
        <w:tab w:val="left" w:pos="1440"/>
      </w:tabs>
      <w:jc w:val="both"/>
      <w:outlineLvl w:val="2"/>
    </w:pPr>
    <w:rPr>
      <w:rFonts w:eastAsia="Arial Unicode MS"/>
      <w:b/>
    </w:rPr>
  </w:style>
  <w:style w:type="paragraph" w:styleId="Heading6">
    <w:name w:val="heading 6"/>
    <w:basedOn w:val="Normal"/>
    <w:next w:val="Normal"/>
    <w:link w:val="Heading6Char"/>
    <w:uiPriority w:val="9"/>
    <w:qFormat/>
    <w:rsid w:val="003D70BA"/>
    <w:pPr>
      <w:spacing w:before="240" w:after="60"/>
      <w:outlineLvl w:val="5"/>
    </w:pPr>
    <w:rPr>
      <w:rFonts w:ascii="Calibri" w:hAnsi="Calibri"/>
      <w:b/>
      <w:bCs/>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153"/>
        <w:tab w:val="right" w:pos="8306"/>
      </w:tabs>
      <w:jc w:val="both"/>
    </w:pPr>
    <w:rPr>
      <w:lang w:val="x-none"/>
    </w:rPr>
  </w:style>
  <w:style w:type="paragraph" w:customStyle="1" w:styleId="indent1">
    <w:name w:val="indent1"/>
    <w:basedOn w:val="Normal"/>
    <w:pPr>
      <w:tabs>
        <w:tab w:val="left" w:pos="720"/>
        <w:tab w:val="left" w:pos="1440"/>
      </w:tabs>
      <w:ind w:left="720" w:hanging="720"/>
      <w:jc w:val="both"/>
    </w:pPr>
  </w:style>
  <w:style w:type="character" w:styleId="FollowedHyperlink">
    <w:name w:val="FollowedHyperlink"/>
    <w:rPr>
      <w:color w:val="800080"/>
      <w:u w:val="single"/>
    </w:rPr>
  </w:style>
  <w:style w:type="paragraph" w:customStyle="1" w:styleId="DefaultText">
    <w:name w:val="Default Text"/>
    <w:basedOn w:val="Normal"/>
    <w:pPr>
      <w:jc w:val="both"/>
    </w:pPr>
  </w:style>
  <w:style w:type="paragraph" w:styleId="Footer">
    <w:name w:val="footer"/>
    <w:basedOn w:val="Normal"/>
    <w:link w:val="FooterChar"/>
    <w:uiPriority w:val="99"/>
    <w:pPr>
      <w:tabs>
        <w:tab w:val="center" w:pos="4153"/>
        <w:tab w:val="right" w:pos="8306"/>
      </w:tabs>
    </w:pPr>
    <w:rPr>
      <w:lang w:val="x-none"/>
    </w:rPr>
  </w:style>
  <w:style w:type="character" w:styleId="PageNumber">
    <w:name w:val="page number"/>
    <w:basedOn w:val="DefaultParagraphFont"/>
  </w:style>
  <w:style w:type="paragraph" w:styleId="NormalIndent">
    <w:name w:val="Normal Indent"/>
    <w:basedOn w:val="Normal"/>
    <w:pPr>
      <w:spacing w:after="240"/>
      <w:ind w:left="720"/>
      <w:jc w:val="both"/>
    </w:pPr>
    <w:rPr>
      <w:sz w:val="22"/>
    </w:rPr>
  </w:style>
  <w:style w:type="paragraph" w:styleId="Title">
    <w:name w:val="Title"/>
    <w:basedOn w:val="Normal"/>
    <w:qFormat/>
    <w:pPr>
      <w:spacing w:after="0"/>
      <w:jc w:val="center"/>
      <w:outlineLvl w:val="0"/>
    </w:pPr>
    <w:rPr>
      <w:b/>
    </w:rPr>
  </w:style>
  <w:style w:type="paragraph" w:styleId="BodyTextIndent">
    <w:name w:val="Body Text Indent"/>
    <w:basedOn w:val="Normal"/>
    <w:pPr>
      <w:ind w:left="2793" w:hanging="2793"/>
    </w:pPr>
    <w:rPr>
      <w:rFonts w:cs="Arial"/>
      <w:b/>
      <w:bCs/>
      <w:szCs w:val="24"/>
    </w:rPr>
  </w:style>
  <w:style w:type="table" w:styleId="TableGrid">
    <w:name w:val="Table Grid"/>
    <w:basedOn w:val="TableNormal"/>
    <w:rsid w:val="00A000A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D0673F"/>
    <w:rPr>
      <w:sz w:val="20"/>
      <w:lang w:val="x-none"/>
    </w:rPr>
  </w:style>
  <w:style w:type="character" w:customStyle="1" w:styleId="FootnoteTextChar">
    <w:name w:val="Footnote Text Char"/>
    <w:link w:val="FootnoteText"/>
    <w:semiHidden/>
    <w:rsid w:val="00D0673F"/>
    <w:rPr>
      <w:rFonts w:ascii="Arial" w:hAnsi="Arial"/>
      <w:lang w:eastAsia="en-US"/>
    </w:rPr>
  </w:style>
  <w:style w:type="character" w:customStyle="1" w:styleId="HeaderChar">
    <w:name w:val="Header Char"/>
    <w:link w:val="Header"/>
    <w:rsid w:val="00D0673F"/>
    <w:rPr>
      <w:rFonts w:ascii="Arial" w:hAnsi="Arial"/>
      <w:sz w:val="24"/>
      <w:lang w:eastAsia="en-US"/>
    </w:rPr>
  </w:style>
  <w:style w:type="character" w:styleId="FootnoteReference">
    <w:name w:val="footnote reference"/>
    <w:semiHidden/>
    <w:unhideWhenUsed/>
    <w:rsid w:val="00D0673F"/>
    <w:rPr>
      <w:vertAlign w:val="superscript"/>
    </w:rPr>
  </w:style>
  <w:style w:type="character" w:customStyle="1" w:styleId="FooterChar">
    <w:name w:val="Footer Char"/>
    <w:link w:val="Footer"/>
    <w:uiPriority w:val="99"/>
    <w:rsid w:val="00D0673F"/>
    <w:rPr>
      <w:rFonts w:ascii="Arial" w:hAnsi="Arial"/>
      <w:sz w:val="24"/>
      <w:lang w:eastAsia="en-US"/>
    </w:rPr>
  </w:style>
  <w:style w:type="paragraph" w:styleId="NormalWeb">
    <w:name w:val="Normal (Web)"/>
    <w:basedOn w:val="Normal"/>
    <w:semiHidden/>
    <w:unhideWhenUsed/>
    <w:rsid w:val="003D70BA"/>
    <w:pPr>
      <w:spacing w:before="100" w:beforeAutospacing="1" w:after="100" w:afterAutospacing="1"/>
    </w:pPr>
    <w:rPr>
      <w:rFonts w:ascii="Arial Unicode MS" w:eastAsia="Arial Unicode MS" w:hAnsi="Arial Unicode MS" w:cs="Arial Unicode MS"/>
      <w:szCs w:val="24"/>
    </w:rPr>
  </w:style>
  <w:style w:type="character" w:customStyle="1" w:styleId="Heading6Char">
    <w:name w:val="Heading 6 Char"/>
    <w:link w:val="Heading6"/>
    <w:uiPriority w:val="9"/>
    <w:semiHidden/>
    <w:rsid w:val="003D70BA"/>
    <w:rPr>
      <w:rFonts w:ascii="Calibri" w:eastAsia="Times New Roman" w:hAnsi="Calibri" w:cs="Times New Roman"/>
      <w:b/>
      <w:bCs/>
      <w:sz w:val="22"/>
      <w:szCs w:val="22"/>
      <w:lang w:eastAsia="en-US"/>
    </w:rPr>
  </w:style>
  <w:style w:type="paragraph" w:customStyle="1" w:styleId="Normal1">
    <w:name w:val="Normal_1"/>
    <w:rsid w:val="00561E4E"/>
    <w:pPr>
      <w:overflowPunct w:val="0"/>
      <w:autoSpaceDE w:val="0"/>
      <w:autoSpaceDN w:val="0"/>
      <w:adjustRightInd w:val="0"/>
      <w:textAlignment w:val="baseline"/>
    </w:pPr>
    <w:rPr>
      <w:rFonts w:ascii="Arial" w:hAnsi="Arial"/>
      <w:sz w:val="22"/>
      <w:lang w:eastAsia="en-US"/>
    </w:rPr>
  </w:style>
  <w:style w:type="paragraph" w:customStyle="1" w:styleId="TableParagraph">
    <w:name w:val="Table Paragraph"/>
    <w:basedOn w:val="Normal"/>
    <w:uiPriority w:val="1"/>
    <w:qFormat/>
    <w:pPr>
      <w:widowControl w:val="0"/>
      <w:autoSpaceDE w:val="0"/>
      <w:autoSpaceDN w:val="0"/>
      <w:ind w:left="105"/>
    </w:pPr>
    <w:rPr>
      <w:rFonts w:eastAsia="Arial" w:cs="Arial"/>
      <w:sz w:val="22"/>
      <w:szCs w:val="22"/>
      <w:lang w:bidi="en-GB"/>
    </w:rPr>
  </w:style>
  <w:style w:type="paragraph" w:styleId="ListParagraph">
    <w:name w:val="List Paragraph"/>
    <w:basedOn w:val="Normal"/>
    <w:link w:val="ListParagraphChar"/>
    <w:uiPriority w:val="34"/>
    <w:qFormat/>
    <w:rsid w:val="00BB4116"/>
    <w:pPr>
      <w:numPr>
        <w:numId w:val="2"/>
      </w:numPr>
    </w:pPr>
  </w:style>
  <w:style w:type="paragraph" w:customStyle="1" w:styleId="Normal2">
    <w:name w:val="Normal_2"/>
    <w:rsid w:val="00561E4E"/>
    <w:pPr>
      <w:overflowPunct w:val="0"/>
      <w:autoSpaceDE w:val="0"/>
      <w:autoSpaceDN w:val="0"/>
      <w:adjustRightInd w:val="0"/>
      <w:textAlignment w:val="baseline"/>
    </w:pPr>
    <w:rPr>
      <w:rFonts w:ascii="Arial" w:hAnsi="Arial"/>
      <w:sz w:val="22"/>
      <w:lang w:eastAsia="en-US"/>
    </w:rPr>
  </w:style>
  <w:style w:type="paragraph" w:customStyle="1" w:styleId="Normal3">
    <w:name w:val="Normal_3"/>
    <w:rsid w:val="00561E4E"/>
    <w:pPr>
      <w:overflowPunct w:val="0"/>
      <w:autoSpaceDE w:val="0"/>
      <w:autoSpaceDN w:val="0"/>
      <w:adjustRightInd w:val="0"/>
      <w:textAlignment w:val="baseline"/>
    </w:pPr>
    <w:rPr>
      <w:rFonts w:ascii="Arial" w:hAnsi="Arial"/>
      <w:sz w:val="22"/>
      <w:lang w:eastAsia="en-US"/>
    </w:rPr>
  </w:style>
  <w:style w:type="paragraph" w:customStyle="1" w:styleId="Normal4">
    <w:name w:val="Normal_4"/>
    <w:rsid w:val="00561E4E"/>
    <w:pPr>
      <w:overflowPunct w:val="0"/>
      <w:autoSpaceDE w:val="0"/>
      <w:autoSpaceDN w:val="0"/>
      <w:adjustRightInd w:val="0"/>
      <w:textAlignment w:val="baseline"/>
    </w:pPr>
    <w:rPr>
      <w:rFonts w:ascii="Arial" w:hAnsi="Arial"/>
      <w:sz w:val="22"/>
      <w:lang w:eastAsia="en-US"/>
    </w:rPr>
  </w:style>
  <w:style w:type="paragraph" w:customStyle="1" w:styleId="Normal5">
    <w:name w:val="Normal_5"/>
    <w:rsid w:val="00561E4E"/>
    <w:pPr>
      <w:overflowPunct w:val="0"/>
      <w:autoSpaceDE w:val="0"/>
      <w:autoSpaceDN w:val="0"/>
      <w:adjustRightInd w:val="0"/>
      <w:textAlignment w:val="baseline"/>
    </w:pPr>
    <w:rPr>
      <w:rFonts w:ascii="Arial" w:hAnsi="Arial"/>
      <w:sz w:val="22"/>
      <w:lang w:eastAsia="en-US"/>
    </w:rPr>
  </w:style>
  <w:style w:type="paragraph" w:customStyle="1" w:styleId="Normal6">
    <w:name w:val="Normal_6"/>
    <w:rsid w:val="00561E4E"/>
    <w:pPr>
      <w:overflowPunct w:val="0"/>
      <w:autoSpaceDE w:val="0"/>
      <w:autoSpaceDN w:val="0"/>
      <w:adjustRightInd w:val="0"/>
      <w:textAlignment w:val="baseline"/>
    </w:pPr>
    <w:rPr>
      <w:rFonts w:ascii="Arial" w:hAnsi="Arial"/>
      <w:sz w:val="22"/>
      <w:lang w:eastAsia="en-US"/>
    </w:rPr>
  </w:style>
  <w:style w:type="paragraph" w:customStyle="1" w:styleId="Normal7">
    <w:name w:val="Normal_7"/>
    <w:rsid w:val="00561E4E"/>
    <w:pPr>
      <w:overflowPunct w:val="0"/>
      <w:autoSpaceDE w:val="0"/>
      <w:autoSpaceDN w:val="0"/>
      <w:adjustRightInd w:val="0"/>
      <w:textAlignment w:val="baseline"/>
    </w:pPr>
    <w:rPr>
      <w:rFonts w:ascii="Arial" w:hAnsi="Arial"/>
      <w:sz w:val="22"/>
      <w:lang w:eastAsia="en-US"/>
    </w:rPr>
  </w:style>
  <w:style w:type="paragraph" w:customStyle="1" w:styleId="Normal8">
    <w:name w:val="Normal_8"/>
    <w:rsid w:val="00561E4E"/>
    <w:pPr>
      <w:overflowPunct w:val="0"/>
      <w:autoSpaceDE w:val="0"/>
      <w:autoSpaceDN w:val="0"/>
      <w:adjustRightInd w:val="0"/>
      <w:textAlignment w:val="baseline"/>
    </w:pPr>
    <w:rPr>
      <w:rFonts w:ascii="Arial" w:hAnsi="Arial"/>
      <w:sz w:val="22"/>
      <w:lang w:eastAsia="en-US"/>
    </w:rPr>
  </w:style>
  <w:style w:type="paragraph" w:customStyle="1" w:styleId="Normal9">
    <w:name w:val="Normal_9"/>
    <w:rsid w:val="00561E4E"/>
    <w:pPr>
      <w:overflowPunct w:val="0"/>
      <w:autoSpaceDE w:val="0"/>
      <w:autoSpaceDN w:val="0"/>
      <w:adjustRightInd w:val="0"/>
      <w:textAlignment w:val="baseline"/>
    </w:pPr>
    <w:rPr>
      <w:rFonts w:ascii="Arial" w:hAnsi="Arial"/>
      <w:sz w:val="22"/>
      <w:lang w:eastAsia="en-US"/>
    </w:rPr>
  </w:style>
  <w:style w:type="paragraph" w:customStyle="1" w:styleId="Normal10">
    <w:name w:val="Normal_10"/>
    <w:rsid w:val="00561E4E"/>
    <w:pPr>
      <w:overflowPunct w:val="0"/>
      <w:autoSpaceDE w:val="0"/>
      <w:autoSpaceDN w:val="0"/>
      <w:adjustRightInd w:val="0"/>
      <w:textAlignment w:val="baseline"/>
    </w:pPr>
    <w:rPr>
      <w:rFonts w:ascii="Arial" w:hAnsi="Arial"/>
      <w:sz w:val="22"/>
      <w:lang w:eastAsia="en-US"/>
    </w:rPr>
  </w:style>
  <w:style w:type="paragraph" w:customStyle="1" w:styleId="Normal11">
    <w:name w:val="Normal_11"/>
    <w:rsid w:val="00561E4E"/>
    <w:pPr>
      <w:overflowPunct w:val="0"/>
      <w:autoSpaceDE w:val="0"/>
      <w:autoSpaceDN w:val="0"/>
      <w:adjustRightInd w:val="0"/>
      <w:textAlignment w:val="baseline"/>
    </w:pPr>
    <w:rPr>
      <w:rFonts w:ascii="Arial" w:hAnsi="Arial"/>
      <w:sz w:val="22"/>
      <w:lang w:eastAsia="en-US"/>
    </w:rPr>
  </w:style>
  <w:style w:type="paragraph" w:customStyle="1" w:styleId="Normal12">
    <w:name w:val="Normal_12"/>
    <w:rsid w:val="00561E4E"/>
    <w:pPr>
      <w:overflowPunct w:val="0"/>
      <w:autoSpaceDE w:val="0"/>
      <w:autoSpaceDN w:val="0"/>
      <w:adjustRightInd w:val="0"/>
      <w:textAlignment w:val="baseline"/>
    </w:pPr>
    <w:rPr>
      <w:rFonts w:ascii="Arial" w:hAnsi="Arial"/>
      <w:sz w:val="22"/>
      <w:lang w:eastAsia="en-US"/>
    </w:rPr>
  </w:style>
  <w:style w:type="character" w:customStyle="1" w:styleId="spelle">
    <w:name w:val="spelle"/>
    <w:basedOn w:val="DefaultParagraphFont"/>
    <w:rsid w:val="00DB42E2"/>
  </w:style>
  <w:style w:type="character" w:customStyle="1" w:styleId="Firstpagetablebold">
    <w:name w:val="First page table: bold"/>
    <w:qFormat/>
    <w:rsid w:val="00BB4116"/>
    <w:rPr>
      <w:rFonts w:ascii="Arial" w:hAnsi="Arial" w:cs="Arial" w:hint="default"/>
      <w:b/>
      <w:bCs w:val="0"/>
      <w:sz w:val="24"/>
    </w:rPr>
  </w:style>
  <w:style w:type="character" w:customStyle="1" w:styleId="ListParagraphChar">
    <w:name w:val="List Paragraph Char"/>
    <w:link w:val="ListParagraph"/>
    <w:uiPriority w:val="34"/>
    <w:locked/>
    <w:rsid w:val="00BB4116"/>
    <w:rPr>
      <w:rFonts w:ascii="Arial" w:hAnsi="Arial"/>
      <w:sz w:val="24"/>
      <w:lang w:eastAsia="en-US"/>
    </w:rPr>
  </w:style>
  <w:style w:type="numbering" w:customStyle="1" w:styleId="StyleNumberedLeft0cmHanging075cm">
    <w:name w:val="Style Numbered Left:  0 cm Hanging:  0.75 cm"/>
    <w:rsid w:val="00BB4116"/>
    <w:pPr>
      <w:numPr>
        <w:numId w:val="1"/>
      </w:numPr>
    </w:pPr>
  </w:style>
  <w:style w:type="paragraph" w:customStyle="1" w:styleId="Normal14">
    <w:name w:val="Normal_14"/>
    <w:qFormat/>
    <w:rsid w:val="005C1B66"/>
    <w:pPr>
      <w:overflowPunct w:val="0"/>
      <w:autoSpaceDE w:val="0"/>
      <w:autoSpaceDN w:val="0"/>
      <w:adjustRightInd w:val="0"/>
      <w:textAlignment w:val="baseline"/>
    </w:pPr>
    <w:rPr>
      <w:rFonts w:ascii="Arial" w:hAnsi="Arial"/>
      <w:sz w:val="22"/>
      <w:lang w:eastAsia="en-US"/>
    </w:rPr>
  </w:style>
  <w:style w:type="paragraph" w:customStyle="1" w:styleId="Normal15">
    <w:name w:val="Normal_15"/>
    <w:qFormat/>
    <w:rsid w:val="005C1B66"/>
    <w:pPr>
      <w:overflowPunct w:val="0"/>
      <w:autoSpaceDE w:val="0"/>
      <w:autoSpaceDN w:val="0"/>
      <w:adjustRightInd w:val="0"/>
      <w:textAlignment w:val="baseline"/>
    </w:pPr>
    <w:rPr>
      <w:rFonts w:ascii="Arial" w:hAnsi="Arial"/>
      <w:sz w:val="22"/>
      <w:lang w:eastAsia="en-US"/>
    </w:rPr>
  </w:style>
  <w:style w:type="paragraph" w:customStyle="1" w:styleId="Normal16">
    <w:name w:val="Normal_16"/>
    <w:qFormat/>
    <w:rsid w:val="005C1B66"/>
    <w:pPr>
      <w:overflowPunct w:val="0"/>
      <w:autoSpaceDE w:val="0"/>
      <w:autoSpaceDN w:val="0"/>
      <w:adjustRightInd w:val="0"/>
      <w:textAlignment w:val="baseline"/>
    </w:pPr>
    <w:rPr>
      <w:rFonts w:ascii="Arial" w:hAnsi="Arial"/>
      <w:sz w:val="22"/>
      <w:lang w:eastAsia="en-US"/>
    </w:rPr>
  </w:style>
  <w:style w:type="paragraph" w:customStyle="1" w:styleId="Normal17">
    <w:name w:val="Normal_17"/>
    <w:qFormat/>
    <w:rsid w:val="00CC2D82"/>
    <w:pPr>
      <w:overflowPunct w:val="0"/>
      <w:autoSpaceDE w:val="0"/>
      <w:autoSpaceDN w:val="0"/>
      <w:adjustRightInd w:val="0"/>
      <w:textAlignment w:val="baseline"/>
    </w:pPr>
    <w:rPr>
      <w:rFonts w:ascii="Arial" w:hAnsi="Arial"/>
      <w:sz w:val="22"/>
      <w:lang w:eastAsia="en-US"/>
    </w:rPr>
  </w:style>
  <w:style w:type="paragraph" w:styleId="BodyText">
    <w:name w:val="Body Text"/>
    <w:basedOn w:val="Normal"/>
    <w:link w:val="BodyTextChar"/>
    <w:uiPriority w:val="99"/>
    <w:semiHidden/>
    <w:unhideWhenUsed/>
    <w:rsid w:val="000D7BCD"/>
  </w:style>
  <w:style w:type="character" w:customStyle="1" w:styleId="BodyTextChar">
    <w:name w:val="Body Text Char"/>
    <w:basedOn w:val="DefaultParagraphFont"/>
    <w:link w:val="BodyText"/>
    <w:uiPriority w:val="99"/>
    <w:semiHidden/>
    <w:rsid w:val="000D7BCD"/>
    <w:rPr>
      <w:rFonts w:ascii="Arial" w:hAnsi="Arial"/>
      <w:sz w:val="24"/>
      <w:lang w:eastAsia="en-US"/>
    </w:rPr>
  </w:style>
  <w:style w:type="character" w:customStyle="1" w:styleId="normaltextrun">
    <w:name w:val="normaltextrun"/>
    <w:basedOn w:val="DefaultParagraphFont"/>
    <w:rsid w:val="006C70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6150">
      <w:bodyDiv w:val="1"/>
      <w:marLeft w:val="0"/>
      <w:marRight w:val="0"/>
      <w:marTop w:val="0"/>
      <w:marBottom w:val="0"/>
      <w:divBdr>
        <w:top w:val="none" w:sz="0" w:space="0" w:color="auto"/>
        <w:left w:val="none" w:sz="0" w:space="0" w:color="auto"/>
        <w:bottom w:val="none" w:sz="0" w:space="0" w:color="auto"/>
        <w:right w:val="none" w:sz="0" w:space="0" w:color="auto"/>
      </w:divBdr>
    </w:div>
    <w:div w:id="216472888">
      <w:bodyDiv w:val="1"/>
      <w:marLeft w:val="0"/>
      <w:marRight w:val="0"/>
      <w:marTop w:val="0"/>
      <w:marBottom w:val="0"/>
      <w:divBdr>
        <w:top w:val="none" w:sz="0" w:space="0" w:color="auto"/>
        <w:left w:val="none" w:sz="0" w:space="0" w:color="auto"/>
        <w:bottom w:val="none" w:sz="0" w:space="0" w:color="auto"/>
        <w:right w:val="none" w:sz="0" w:space="0" w:color="auto"/>
      </w:divBdr>
    </w:div>
    <w:div w:id="261302848">
      <w:bodyDiv w:val="1"/>
      <w:marLeft w:val="0"/>
      <w:marRight w:val="0"/>
      <w:marTop w:val="0"/>
      <w:marBottom w:val="0"/>
      <w:divBdr>
        <w:top w:val="none" w:sz="0" w:space="0" w:color="auto"/>
        <w:left w:val="none" w:sz="0" w:space="0" w:color="auto"/>
        <w:bottom w:val="none" w:sz="0" w:space="0" w:color="auto"/>
        <w:right w:val="none" w:sz="0" w:space="0" w:color="auto"/>
      </w:divBdr>
    </w:div>
    <w:div w:id="264119332">
      <w:bodyDiv w:val="1"/>
      <w:marLeft w:val="0"/>
      <w:marRight w:val="0"/>
      <w:marTop w:val="0"/>
      <w:marBottom w:val="0"/>
      <w:divBdr>
        <w:top w:val="none" w:sz="0" w:space="0" w:color="auto"/>
        <w:left w:val="none" w:sz="0" w:space="0" w:color="auto"/>
        <w:bottom w:val="none" w:sz="0" w:space="0" w:color="auto"/>
        <w:right w:val="none" w:sz="0" w:space="0" w:color="auto"/>
      </w:divBdr>
    </w:div>
    <w:div w:id="300964134">
      <w:bodyDiv w:val="1"/>
      <w:marLeft w:val="0"/>
      <w:marRight w:val="0"/>
      <w:marTop w:val="0"/>
      <w:marBottom w:val="0"/>
      <w:divBdr>
        <w:top w:val="none" w:sz="0" w:space="0" w:color="auto"/>
        <w:left w:val="none" w:sz="0" w:space="0" w:color="auto"/>
        <w:bottom w:val="none" w:sz="0" w:space="0" w:color="auto"/>
        <w:right w:val="none" w:sz="0" w:space="0" w:color="auto"/>
      </w:divBdr>
    </w:div>
    <w:div w:id="382481504">
      <w:bodyDiv w:val="1"/>
      <w:marLeft w:val="0"/>
      <w:marRight w:val="0"/>
      <w:marTop w:val="0"/>
      <w:marBottom w:val="0"/>
      <w:divBdr>
        <w:top w:val="none" w:sz="0" w:space="0" w:color="auto"/>
        <w:left w:val="none" w:sz="0" w:space="0" w:color="auto"/>
        <w:bottom w:val="none" w:sz="0" w:space="0" w:color="auto"/>
        <w:right w:val="none" w:sz="0" w:space="0" w:color="auto"/>
      </w:divBdr>
    </w:div>
    <w:div w:id="534076729">
      <w:bodyDiv w:val="1"/>
      <w:marLeft w:val="0"/>
      <w:marRight w:val="0"/>
      <w:marTop w:val="0"/>
      <w:marBottom w:val="0"/>
      <w:divBdr>
        <w:top w:val="none" w:sz="0" w:space="0" w:color="auto"/>
        <w:left w:val="none" w:sz="0" w:space="0" w:color="auto"/>
        <w:bottom w:val="none" w:sz="0" w:space="0" w:color="auto"/>
        <w:right w:val="none" w:sz="0" w:space="0" w:color="auto"/>
      </w:divBdr>
    </w:div>
    <w:div w:id="767310755">
      <w:bodyDiv w:val="1"/>
      <w:marLeft w:val="0"/>
      <w:marRight w:val="0"/>
      <w:marTop w:val="0"/>
      <w:marBottom w:val="0"/>
      <w:divBdr>
        <w:top w:val="none" w:sz="0" w:space="0" w:color="auto"/>
        <w:left w:val="none" w:sz="0" w:space="0" w:color="auto"/>
        <w:bottom w:val="none" w:sz="0" w:space="0" w:color="auto"/>
        <w:right w:val="none" w:sz="0" w:space="0" w:color="auto"/>
      </w:divBdr>
    </w:div>
    <w:div w:id="797911809">
      <w:bodyDiv w:val="1"/>
      <w:marLeft w:val="0"/>
      <w:marRight w:val="0"/>
      <w:marTop w:val="0"/>
      <w:marBottom w:val="0"/>
      <w:divBdr>
        <w:top w:val="none" w:sz="0" w:space="0" w:color="auto"/>
        <w:left w:val="none" w:sz="0" w:space="0" w:color="auto"/>
        <w:bottom w:val="none" w:sz="0" w:space="0" w:color="auto"/>
        <w:right w:val="none" w:sz="0" w:space="0" w:color="auto"/>
      </w:divBdr>
    </w:div>
    <w:div w:id="956066716">
      <w:bodyDiv w:val="1"/>
      <w:marLeft w:val="0"/>
      <w:marRight w:val="0"/>
      <w:marTop w:val="0"/>
      <w:marBottom w:val="0"/>
      <w:divBdr>
        <w:top w:val="none" w:sz="0" w:space="0" w:color="auto"/>
        <w:left w:val="none" w:sz="0" w:space="0" w:color="auto"/>
        <w:bottom w:val="none" w:sz="0" w:space="0" w:color="auto"/>
        <w:right w:val="none" w:sz="0" w:space="0" w:color="auto"/>
      </w:divBdr>
    </w:div>
    <w:div w:id="1133866480">
      <w:bodyDiv w:val="1"/>
      <w:marLeft w:val="0"/>
      <w:marRight w:val="0"/>
      <w:marTop w:val="0"/>
      <w:marBottom w:val="0"/>
      <w:divBdr>
        <w:top w:val="none" w:sz="0" w:space="0" w:color="auto"/>
        <w:left w:val="none" w:sz="0" w:space="0" w:color="auto"/>
        <w:bottom w:val="none" w:sz="0" w:space="0" w:color="auto"/>
        <w:right w:val="none" w:sz="0" w:space="0" w:color="auto"/>
      </w:divBdr>
    </w:div>
    <w:div w:id="1149980022">
      <w:bodyDiv w:val="1"/>
      <w:marLeft w:val="0"/>
      <w:marRight w:val="0"/>
      <w:marTop w:val="0"/>
      <w:marBottom w:val="0"/>
      <w:divBdr>
        <w:top w:val="none" w:sz="0" w:space="0" w:color="auto"/>
        <w:left w:val="none" w:sz="0" w:space="0" w:color="auto"/>
        <w:bottom w:val="none" w:sz="0" w:space="0" w:color="auto"/>
        <w:right w:val="none" w:sz="0" w:space="0" w:color="auto"/>
      </w:divBdr>
    </w:div>
    <w:div w:id="1154688582">
      <w:bodyDiv w:val="1"/>
      <w:marLeft w:val="0"/>
      <w:marRight w:val="0"/>
      <w:marTop w:val="0"/>
      <w:marBottom w:val="0"/>
      <w:divBdr>
        <w:top w:val="none" w:sz="0" w:space="0" w:color="auto"/>
        <w:left w:val="none" w:sz="0" w:space="0" w:color="auto"/>
        <w:bottom w:val="none" w:sz="0" w:space="0" w:color="auto"/>
        <w:right w:val="none" w:sz="0" w:space="0" w:color="auto"/>
      </w:divBdr>
    </w:div>
    <w:div w:id="1197163231">
      <w:bodyDiv w:val="1"/>
      <w:marLeft w:val="0"/>
      <w:marRight w:val="0"/>
      <w:marTop w:val="0"/>
      <w:marBottom w:val="0"/>
      <w:divBdr>
        <w:top w:val="none" w:sz="0" w:space="0" w:color="auto"/>
        <w:left w:val="none" w:sz="0" w:space="0" w:color="auto"/>
        <w:bottom w:val="none" w:sz="0" w:space="0" w:color="auto"/>
        <w:right w:val="none" w:sz="0" w:space="0" w:color="auto"/>
      </w:divBdr>
    </w:div>
    <w:div w:id="1229613640">
      <w:bodyDiv w:val="1"/>
      <w:marLeft w:val="0"/>
      <w:marRight w:val="0"/>
      <w:marTop w:val="0"/>
      <w:marBottom w:val="0"/>
      <w:divBdr>
        <w:top w:val="none" w:sz="0" w:space="0" w:color="auto"/>
        <w:left w:val="none" w:sz="0" w:space="0" w:color="auto"/>
        <w:bottom w:val="none" w:sz="0" w:space="0" w:color="auto"/>
        <w:right w:val="none" w:sz="0" w:space="0" w:color="auto"/>
      </w:divBdr>
    </w:div>
    <w:div w:id="1230459725">
      <w:bodyDiv w:val="1"/>
      <w:marLeft w:val="0"/>
      <w:marRight w:val="0"/>
      <w:marTop w:val="0"/>
      <w:marBottom w:val="0"/>
      <w:divBdr>
        <w:top w:val="none" w:sz="0" w:space="0" w:color="auto"/>
        <w:left w:val="none" w:sz="0" w:space="0" w:color="auto"/>
        <w:bottom w:val="none" w:sz="0" w:space="0" w:color="auto"/>
        <w:right w:val="none" w:sz="0" w:space="0" w:color="auto"/>
      </w:divBdr>
    </w:div>
    <w:div w:id="1465199682">
      <w:bodyDiv w:val="1"/>
      <w:marLeft w:val="0"/>
      <w:marRight w:val="0"/>
      <w:marTop w:val="0"/>
      <w:marBottom w:val="0"/>
      <w:divBdr>
        <w:top w:val="none" w:sz="0" w:space="0" w:color="auto"/>
        <w:left w:val="none" w:sz="0" w:space="0" w:color="auto"/>
        <w:bottom w:val="none" w:sz="0" w:space="0" w:color="auto"/>
        <w:right w:val="none" w:sz="0" w:space="0" w:color="auto"/>
      </w:divBdr>
    </w:div>
    <w:div w:id="1599096330">
      <w:bodyDiv w:val="1"/>
      <w:marLeft w:val="0"/>
      <w:marRight w:val="0"/>
      <w:marTop w:val="0"/>
      <w:marBottom w:val="0"/>
      <w:divBdr>
        <w:top w:val="none" w:sz="0" w:space="0" w:color="auto"/>
        <w:left w:val="none" w:sz="0" w:space="0" w:color="auto"/>
        <w:bottom w:val="none" w:sz="0" w:space="0" w:color="auto"/>
        <w:right w:val="none" w:sz="0" w:space="0" w:color="auto"/>
      </w:divBdr>
    </w:div>
    <w:div w:id="1668508668">
      <w:bodyDiv w:val="1"/>
      <w:marLeft w:val="0"/>
      <w:marRight w:val="0"/>
      <w:marTop w:val="0"/>
      <w:marBottom w:val="0"/>
      <w:divBdr>
        <w:top w:val="none" w:sz="0" w:space="0" w:color="auto"/>
        <w:left w:val="none" w:sz="0" w:space="0" w:color="auto"/>
        <w:bottom w:val="none" w:sz="0" w:space="0" w:color="auto"/>
        <w:right w:val="none" w:sz="0" w:space="0" w:color="auto"/>
      </w:divBdr>
    </w:div>
    <w:div w:id="1760565403">
      <w:bodyDiv w:val="1"/>
      <w:marLeft w:val="0"/>
      <w:marRight w:val="0"/>
      <w:marTop w:val="0"/>
      <w:marBottom w:val="0"/>
      <w:divBdr>
        <w:top w:val="none" w:sz="0" w:space="0" w:color="auto"/>
        <w:left w:val="none" w:sz="0" w:space="0" w:color="auto"/>
        <w:bottom w:val="none" w:sz="0" w:space="0" w:color="auto"/>
        <w:right w:val="none" w:sz="0" w:space="0" w:color="auto"/>
      </w:divBdr>
    </w:div>
    <w:div w:id="1797789922">
      <w:bodyDiv w:val="1"/>
      <w:marLeft w:val="0"/>
      <w:marRight w:val="0"/>
      <w:marTop w:val="0"/>
      <w:marBottom w:val="0"/>
      <w:divBdr>
        <w:top w:val="none" w:sz="0" w:space="0" w:color="auto"/>
        <w:left w:val="none" w:sz="0" w:space="0" w:color="auto"/>
        <w:bottom w:val="none" w:sz="0" w:space="0" w:color="auto"/>
        <w:right w:val="none" w:sz="0" w:space="0" w:color="auto"/>
      </w:divBdr>
    </w:div>
    <w:div w:id="2019889305">
      <w:bodyDiv w:val="1"/>
      <w:marLeft w:val="0"/>
      <w:marRight w:val="0"/>
      <w:marTop w:val="0"/>
      <w:marBottom w:val="0"/>
      <w:divBdr>
        <w:top w:val="none" w:sz="0" w:space="0" w:color="auto"/>
        <w:left w:val="none" w:sz="0" w:space="0" w:color="auto"/>
        <w:bottom w:val="none" w:sz="0" w:space="0" w:color="auto"/>
        <w:right w:val="none" w:sz="0" w:space="0" w:color="auto"/>
      </w:divBdr>
    </w:div>
    <w:div w:id="2042822684">
      <w:bodyDiv w:val="1"/>
      <w:marLeft w:val="0"/>
      <w:marRight w:val="0"/>
      <w:marTop w:val="0"/>
      <w:marBottom w:val="0"/>
      <w:divBdr>
        <w:top w:val="none" w:sz="0" w:space="0" w:color="auto"/>
        <w:left w:val="none" w:sz="0" w:space="0" w:color="auto"/>
        <w:bottom w:val="none" w:sz="0" w:space="0" w:color="auto"/>
        <w:right w:val="none" w:sz="0" w:space="0" w:color="auto"/>
      </w:divBdr>
    </w:div>
    <w:div w:id="20967765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jmalton@oxford.gov.uk" TargetMode="External"/><Relationship Id="rId4" Type="http://schemas.openxmlformats.org/officeDocument/2006/relationships/settings" Target="settings.xml"/><Relationship Id="rId9" Type="http://schemas.openxmlformats.org/officeDocument/2006/relationships/image" Target="http://insideocc/styleguide/logos/occ_blk.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B50FE-5456-4B24-9A1E-D69BBAA69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2255</Words>
  <Characters>12858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Forward Plan, Test decision digest 2020 Decisions Digest Document 01/05/2020</vt:lpstr>
    </vt:vector>
  </TitlesOfParts>
  <Company/>
  <LinksUpToDate>false</LinksUpToDate>
  <CharactersWithSpaces>15083</CharactersWithSpaces>
  <SharedDoc>false</SharedDoc>
  <HLinks>
    <vt:vector size="6" baseType="variant">
      <vt:variant>
        <vt:i4>2687043</vt:i4>
      </vt:variant>
      <vt:variant>
        <vt:i4>-1</vt:i4>
      </vt:variant>
      <vt:variant>
        <vt:i4>1025</vt:i4>
      </vt:variant>
      <vt:variant>
        <vt:i4>1</vt:i4>
      </vt:variant>
      <vt:variant>
        <vt:lpwstr>http://insideocc/styleguide/logos/occ_blk.jpg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Forward Plan, Test decision digest 2020 Decisions Digest Document 01/05/2020</dc:title>
  <dc:subject/>
  <dc:creator>Oxford City Council</dc:creator>
  <cp:keywords>Council meetings;Government, politics and public administration; Local government; Decision making; Council meetings;</cp:keywords>
  <dc:description/>
  <cp:lastModifiedBy>MALTON Jonathan</cp:lastModifiedBy>
  <cp:revision>5</cp:revision>
  <cp:lastPrinted>2015-07-24T10:00:00Z</cp:lastPrinted>
  <dcterms:created xsi:type="dcterms:W3CDTF">2025-01-08T14:35:00Z</dcterms:created>
  <dcterms:modified xsi:type="dcterms:W3CDTF">2025-01-09T12:19:00Z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itteeName">
    <vt:lpwstr>Forward Plan</vt:lpwstr>
  </property>
  <property fmtid="{D5CDD505-2E9C-101B-9397-08002B2CF9AE}" pid="3" name="EndValidDate">
    <vt:lpwstr>31 August 2020</vt:lpwstr>
  </property>
  <property fmtid="{D5CDD505-2E9C-101B-9397-08002B2CF9AE}" pid="4" name="FIELD_DIRECTOR_NAMED">
    <vt:lpwstr>FIELD_DIRECTOR_NAMED</vt:lpwstr>
  </property>
  <property fmtid="{D5CDD505-2E9C-101B-9397-08002B2CF9AE}" pid="5" name="Index_Issue-Id_Department_Title_Decision">
    <vt:lpwstr> </vt:lpwstr>
  </property>
  <property fmtid="{D5CDD505-2E9C-101B-9397-08002B2CF9AE}" pid="6" name="MeetingDate">
    <vt:lpwstr>MeetingDate</vt:lpwstr>
  </property>
  <property fmtid="{D5CDD505-2E9C-101B-9397-08002B2CF9AE}" pid="7" name="MeetingId">
    <vt:lpwstr>MeetingId</vt:lpwstr>
  </property>
  <property fmtid="{D5CDD505-2E9C-101B-9397-08002B2CF9AE}" pid="8" name="MeetingTime">
    <vt:lpwstr>MeetingTime</vt:lpwstr>
  </property>
  <property fmtid="{D5CDD505-2E9C-101B-9397-08002B2CF9AE}" pid="9" name="MembersPresentListShort">
    <vt:lpwstr>MembersPresentListShort</vt:lpwstr>
  </property>
  <property fmtid="{D5CDD505-2E9C-101B-9397-08002B2CF9AE}" pid="10" name="StartValidDate">
    <vt:lpwstr>1 May 2020</vt:lpwstr>
  </property>
</Properties>
</file>